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0F" w:rsidRPr="00F8530F" w:rsidRDefault="00F8530F" w:rsidP="00F8530F">
      <w:pPr>
        <w:suppressAutoHyphens w:val="0"/>
        <w:jc w:val="center"/>
        <w:rPr>
          <w:b/>
          <w:sz w:val="28"/>
          <w:szCs w:val="28"/>
          <w:lang w:val="sr-Latn-CS" w:eastAsia="sr-Latn-CS"/>
        </w:rPr>
      </w:pPr>
      <w:r w:rsidRPr="00F8530F">
        <w:rPr>
          <w:b/>
          <w:sz w:val="28"/>
          <w:szCs w:val="28"/>
          <w:lang w:val="sr-Latn-CS" w:eastAsia="sr-Latn-CS"/>
        </w:rPr>
        <w:t>Pomak Srbije na listi Transparency International</w:t>
      </w:r>
    </w:p>
    <w:p w:rsidR="00F8530F" w:rsidRPr="00F8530F" w:rsidRDefault="00F8530F" w:rsidP="00F8530F">
      <w:pPr>
        <w:suppressAutoHyphens w:val="0"/>
        <w:jc w:val="center"/>
        <w:rPr>
          <w:b/>
          <w:i/>
          <w:sz w:val="28"/>
          <w:szCs w:val="28"/>
          <w:lang w:val="sr-Latn-CS" w:eastAsia="sr-Latn-CS"/>
        </w:rPr>
      </w:pPr>
      <w:r w:rsidRPr="00F8530F">
        <w:rPr>
          <w:b/>
          <w:i/>
          <w:sz w:val="28"/>
          <w:szCs w:val="28"/>
          <w:lang w:val="sr-Latn-CS" w:eastAsia="sr-Latn-CS"/>
        </w:rPr>
        <w:t>Indeks percepcije korupcije (CPI) za 2013.</w:t>
      </w: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  <w:r w:rsidRPr="00F8530F">
        <w:rPr>
          <w:sz w:val="24"/>
          <w:szCs w:val="24"/>
          <w:lang w:val="sr-Latn-CS" w:eastAsia="sr-Latn-CS"/>
        </w:rPr>
        <w:t xml:space="preserve">Srbija u 2013. godini beleži rast indeksa sa 39 na 42, pa je napredovala i na tabeli, sa 80. na 72. mesto. Još uvek je reč o niskom indeksu koji Srbiju svrstava </w:t>
      </w:r>
      <w:r w:rsidRPr="00F8530F">
        <w:rPr>
          <w:b/>
          <w:sz w:val="24"/>
          <w:szCs w:val="24"/>
          <w:lang w:val="sr-Latn-CS" w:eastAsia="sr-Latn-CS"/>
        </w:rPr>
        <w:t>među zemlje sa veoma rasprostranjenom korupcijom</w:t>
      </w:r>
      <w:r w:rsidRPr="00F8530F">
        <w:rPr>
          <w:sz w:val="24"/>
          <w:szCs w:val="24"/>
          <w:lang w:val="sr-Latn-CS" w:eastAsia="sr-Latn-CS"/>
        </w:rPr>
        <w:t xml:space="preserve">. Ipak, ovaj pomak trebalo bi iskoristiti kao </w:t>
      </w:r>
      <w:r w:rsidRPr="00F8530F">
        <w:rPr>
          <w:b/>
          <w:sz w:val="24"/>
          <w:szCs w:val="24"/>
          <w:lang w:val="sr-Latn-CS" w:eastAsia="sr-Latn-CS"/>
        </w:rPr>
        <w:t>podsticaj</w:t>
      </w:r>
      <w:r w:rsidRPr="00F8530F">
        <w:rPr>
          <w:sz w:val="24"/>
          <w:szCs w:val="24"/>
          <w:lang w:val="sr-Latn-CS" w:eastAsia="sr-Latn-CS"/>
        </w:rPr>
        <w:t xml:space="preserve"> da se učine reforme koje će omogućiti </w:t>
      </w:r>
      <w:r w:rsidRPr="00F8530F">
        <w:rPr>
          <w:b/>
          <w:sz w:val="24"/>
          <w:szCs w:val="24"/>
          <w:lang w:val="sr-Latn-CS" w:eastAsia="sr-Latn-CS"/>
        </w:rPr>
        <w:t>sistematično suzbijanje korupcije</w:t>
      </w:r>
      <w:r w:rsidRPr="00F8530F">
        <w:rPr>
          <w:sz w:val="24"/>
          <w:szCs w:val="24"/>
          <w:lang w:val="sr-Latn-CS" w:eastAsia="sr-Latn-CS"/>
        </w:rPr>
        <w:t>.</w:t>
      </w:r>
    </w:p>
    <w:p w:rsidR="00F8530F" w:rsidRP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  <w:r w:rsidRPr="00F8530F">
        <w:rPr>
          <w:b/>
          <w:sz w:val="24"/>
          <w:szCs w:val="24"/>
          <w:lang w:val="sr-Latn-CS" w:eastAsia="sr-Latn-CS"/>
        </w:rPr>
        <w:t>Oštra retorika</w:t>
      </w:r>
      <w:r w:rsidRPr="00F8530F">
        <w:rPr>
          <w:sz w:val="24"/>
          <w:szCs w:val="24"/>
          <w:lang w:val="sr-Latn-CS" w:eastAsia="sr-Latn-CS"/>
        </w:rPr>
        <w:t xml:space="preserve"> protiv korupcije i pojedine </w:t>
      </w:r>
      <w:r w:rsidRPr="00F8530F">
        <w:rPr>
          <w:b/>
          <w:sz w:val="24"/>
          <w:szCs w:val="24"/>
          <w:lang w:val="sr-Latn-CS" w:eastAsia="sr-Latn-CS"/>
        </w:rPr>
        <w:t>akcije represivnih organa</w:t>
      </w:r>
      <w:r w:rsidRPr="00F8530F">
        <w:rPr>
          <w:sz w:val="24"/>
          <w:szCs w:val="24"/>
          <w:lang w:val="sr-Latn-CS" w:eastAsia="sr-Latn-CS"/>
        </w:rPr>
        <w:t xml:space="preserve"> svakako su uticali u određenoj meri na </w:t>
      </w:r>
      <w:r w:rsidRPr="00F8530F">
        <w:rPr>
          <w:b/>
          <w:sz w:val="24"/>
          <w:szCs w:val="24"/>
          <w:lang w:val="sr-Latn-CS" w:eastAsia="sr-Latn-CS"/>
        </w:rPr>
        <w:t>smanjenje korupcije u javnim službama</w:t>
      </w:r>
      <w:r w:rsidRPr="00F8530F">
        <w:rPr>
          <w:sz w:val="24"/>
          <w:szCs w:val="24"/>
          <w:lang w:val="sr-Latn-CS" w:eastAsia="sr-Latn-CS"/>
        </w:rPr>
        <w:t xml:space="preserve"> sa kojima u kontakt dolaze potencijalni investitori čija je ocena od značaja za formiranje indeksa. Međutim, </w:t>
      </w:r>
      <w:r w:rsidRPr="00F8530F">
        <w:rPr>
          <w:b/>
          <w:sz w:val="24"/>
          <w:szCs w:val="24"/>
          <w:lang w:val="sr-Latn-CS" w:eastAsia="sr-Latn-CS"/>
        </w:rPr>
        <w:t>napredak neće biti održiv</w:t>
      </w:r>
      <w:r w:rsidRPr="00F8530F">
        <w:rPr>
          <w:sz w:val="24"/>
          <w:szCs w:val="24"/>
          <w:lang w:val="sr-Latn-CS" w:eastAsia="sr-Latn-CS"/>
        </w:rPr>
        <w:t xml:space="preserve"> ukoliko se bude zasnivao samo na strahu umesto na otklanjanju uzoroka koji dovode do korupcije.</w:t>
      </w:r>
    </w:p>
    <w:p w:rsidR="00F8530F" w:rsidRP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  <w:r w:rsidRPr="00F8530F">
        <w:rPr>
          <w:sz w:val="24"/>
          <w:szCs w:val="24"/>
          <w:lang w:val="sr-Latn-CS" w:eastAsia="sr-Latn-CS"/>
        </w:rPr>
        <w:t xml:space="preserve">To znači da su </w:t>
      </w:r>
      <w:r w:rsidRPr="00F8530F">
        <w:rPr>
          <w:b/>
          <w:sz w:val="24"/>
          <w:szCs w:val="24"/>
          <w:lang w:val="sr-Latn-CS" w:eastAsia="sr-Latn-CS"/>
        </w:rPr>
        <w:t>neophodne značajne reforme u javnom sektoru, ozbiljan posvećenost prevenciji, aktivno tužilaštvo i odgovorno pravosuđe</w:t>
      </w:r>
      <w:r w:rsidRPr="00F8530F">
        <w:rPr>
          <w:sz w:val="24"/>
          <w:szCs w:val="24"/>
          <w:lang w:val="sr-Latn-CS" w:eastAsia="sr-Latn-CS"/>
        </w:rPr>
        <w:t xml:space="preserve">. </w:t>
      </w:r>
    </w:p>
    <w:p w:rsidR="00F8530F" w:rsidRP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  <w:r w:rsidRPr="00F8530F">
        <w:rPr>
          <w:sz w:val="24"/>
          <w:szCs w:val="24"/>
          <w:lang w:val="sr-Latn-CS" w:eastAsia="sr-Latn-CS"/>
        </w:rPr>
        <w:t xml:space="preserve">U prethodnih godinu dana, od sistemskih mera koje su mogle doprineti rastu indeksa, možemo pomenuti </w:t>
      </w:r>
      <w:r w:rsidRPr="00F8530F">
        <w:rPr>
          <w:b/>
          <w:sz w:val="24"/>
          <w:szCs w:val="24"/>
          <w:lang w:val="sr-Latn-CS" w:eastAsia="sr-Latn-CS"/>
        </w:rPr>
        <w:t>početak primene novog Zakona o javnim nabavkama</w:t>
      </w:r>
      <w:r w:rsidRPr="00F8530F">
        <w:rPr>
          <w:sz w:val="24"/>
          <w:szCs w:val="24"/>
          <w:lang w:val="sr-Latn-CS" w:eastAsia="sr-Latn-CS"/>
        </w:rPr>
        <w:t xml:space="preserve">. Moguće je da je na percepciju uticalo i </w:t>
      </w:r>
      <w:r w:rsidRPr="00F8530F">
        <w:rPr>
          <w:b/>
          <w:sz w:val="24"/>
          <w:szCs w:val="24"/>
          <w:lang w:val="sr-Latn-CS" w:eastAsia="sr-Latn-CS"/>
        </w:rPr>
        <w:t>usvajanje nove Strategije i Akcionog plana</w:t>
      </w:r>
      <w:r w:rsidRPr="00F8530F">
        <w:rPr>
          <w:sz w:val="24"/>
          <w:szCs w:val="24"/>
          <w:lang w:val="sr-Latn-CS" w:eastAsia="sr-Latn-CS"/>
        </w:rPr>
        <w:t xml:space="preserve"> za borbu protiv korupcije.</w:t>
      </w:r>
    </w:p>
    <w:p w:rsidR="00F8530F" w:rsidRP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  <w:r w:rsidRPr="00F8530F">
        <w:rPr>
          <w:sz w:val="24"/>
          <w:szCs w:val="24"/>
          <w:lang w:val="sr-Latn-CS" w:eastAsia="sr-Latn-CS"/>
        </w:rPr>
        <w:t xml:space="preserve">S druge strane, </w:t>
      </w:r>
      <w:r w:rsidRPr="00F8530F">
        <w:rPr>
          <w:b/>
          <w:sz w:val="24"/>
          <w:szCs w:val="24"/>
          <w:lang w:val="sr-Latn-CS" w:eastAsia="sr-Latn-CS"/>
        </w:rPr>
        <w:t>javni sektor</w:t>
      </w:r>
      <w:r w:rsidRPr="00F8530F">
        <w:rPr>
          <w:sz w:val="24"/>
          <w:szCs w:val="24"/>
          <w:lang w:val="sr-Latn-CS" w:eastAsia="sr-Latn-CS"/>
        </w:rPr>
        <w:t xml:space="preserve"> je i dalje izuzetno </w:t>
      </w:r>
      <w:r w:rsidRPr="00F8530F">
        <w:rPr>
          <w:b/>
          <w:sz w:val="24"/>
          <w:szCs w:val="24"/>
          <w:lang w:val="sr-Latn-CS" w:eastAsia="sr-Latn-CS"/>
        </w:rPr>
        <w:t>politizovan</w:t>
      </w:r>
      <w:r w:rsidRPr="00F8530F">
        <w:rPr>
          <w:sz w:val="24"/>
          <w:szCs w:val="24"/>
          <w:lang w:val="sr-Latn-CS" w:eastAsia="sr-Latn-CS"/>
        </w:rPr>
        <w:t xml:space="preserve">, antikorupcijske </w:t>
      </w:r>
      <w:r w:rsidRPr="00F8530F">
        <w:rPr>
          <w:b/>
          <w:sz w:val="24"/>
          <w:szCs w:val="24"/>
          <w:lang w:val="sr-Latn-CS" w:eastAsia="sr-Latn-CS"/>
        </w:rPr>
        <w:t>odredbe Zakona o javnim preduzećima se direktno krše</w:t>
      </w:r>
      <w:r w:rsidRPr="00F8530F">
        <w:rPr>
          <w:sz w:val="24"/>
          <w:szCs w:val="24"/>
          <w:lang w:val="sr-Latn-CS" w:eastAsia="sr-Latn-CS"/>
        </w:rPr>
        <w:t xml:space="preserve">, </w:t>
      </w:r>
      <w:r w:rsidRPr="00F8530F">
        <w:rPr>
          <w:b/>
          <w:sz w:val="24"/>
          <w:szCs w:val="24"/>
          <w:lang w:val="sr-Latn-CS" w:eastAsia="sr-Latn-CS"/>
        </w:rPr>
        <w:t>javnost rada Vlade</w:t>
      </w:r>
      <w:r w:rsidRPr="00F8530F">
        <w:rPr>
          <w:sz w:val="24"/>
          <w:szCs w:val="24"/>
          <w:lang w:val="sr-Latn-CS" w:eastAsia="sr-Latn-CS"/>
        </w:rPr>
        <w:t xml:space="preserve"> nije povećana, nema sistemskog praćenja ispunjavanja preporuka nezavisnih tela niti otvaranja pitanja odgovornosti za neispunjavanje obaveza. </w:t>
      </w:r>
    </w:p>
    <w:p w:rsidR="00F8530F" w:rsidRP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  <w:r w:rsidRPr="00F8530F">
        <w:rPr>
          <w:sz w:val="24"/>
          <w:szCs w:val="24"/>
          <w:lang w:val="sr-Latn-CS" w:eastAsia="sr-Latn-CS"/>
        </w:rPr>
        <w:t xml:space="preserve">Poseban problem je </w:t>
      </w:r>
      <w:r w:rsidRPr="00F8530F">
        <w:rPr>
          <w:b/>
          <w:sz w:val="24"/>
          <w:szCs w:val="24"/>
          <w:lang w:val="sr-Latn-CS" w:eastAsia="sr-Latn-CS"/>
        </w:rPr>
        <w:t>nedovršena reforma pravosuđa</w:t>
      </w:r>
      <w:r w:rsidRPr="00F8530F">
        <w:rPr>
          <w:sz w:val="24"/>
          <w:szCs w:val="24"/>
          <w:lang w:val="sr-Latn-CS" w:eastAsia="sr-Latn-CS"/>
        </w:rPr>
        <w:t xml:space="preserve"> – mehanizmi za ocenjivanje kvaliteta rada sudija i tužilaca nisu urađeni niti primenjeni, a procesi u slučajevima korupcije, kao i postupanje po prijavama nezavisnih tela za kršenje antikorupcijskih propisa traju izuzetno dugo. </w:t>
      </w:r>
    </w:p>
    <w:p w:rsidR="00F8530F" w:rsidRP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  <w:r w:rsidRPr="00F8530F">
        <w:rPr>
          <w:sz w:val="24"/>
          <w:szCs w:val="24"/>
          <w:lang w:eastAsia="sr-Latn-CS"/>
        </w:rPr>
        <w:t xml:space="preserve">Među prioritetnim merama koje treba primeniti su obezbeđenje </w:t>
      </w:r>
      <w:r w:rsidRPr="00F8530F">
        <w:rPr>
          <w:b/>
          <w:sz w:val="24"/>
          <w:szCs w:val="24"/>
          <w:lang w:eastAsia="sr-Latn-CS"/>
        </w:rPr>
        <w:t xml:space="preserve">veće javnosti rada državnih organa </w:t>
      </w:r>
      <w:r w:rsidRPr="00F8530F">
        <w:rPr>
          <w:sz w:val="24"/>
          <w:szCs w:val="24"/>
          <w:lang w:eastAsia="sr-Latn-CS"/>
        </w:rPr>
        <w:t xml:space="preserve">(uključujući i pravila o javnim rasprava i lobiranju, povećanju javnosti podataka o radu Vlade, javnih preduzeća i drugih institucija), </w:t>
      </w:r>
      <w:r w:rsidRPr="00F8530F">
        <w:rPr>
          <w:b/>
          <w:sz w:val="24"/>
          <w:szCs w:val="24"/>
          <w:lang w:eastAsia="sr-Latn-CS"/>
        </w:rPr>
        <w:t>smanjenje regulatornih i finansijskih intervencija države</w:t>
      </w:r>
      <w:r w:rsidRPr="00F8530F">
        <w:rPr>
          <w:sz w:val="24"/>
          <w:szCs w:val="24"/>
          <w:lang w:eastAsia="sr-Latn-CS"/>
        </w:rPr>
        <w:t xml:space="preserve"> (npr. dozvole, odobrenja, subvencije) koje stvaraju rizike za korupciju, nastavak reforme u oblasti </w:t>
      </w:r>
      <w:r w:rsidRPr="00F8530F">
        <w:rPr>
          <w:b/>
          <w:sz w:val="24"/>
          <w:szCs w:val="24"/>
          <w:lang w:eastAsia="sr-Latn-CS"/>
        </w:rPr>
        <w:t>javnih nabavki</w:t>
      </w:r>
      <w:r w:rsidRPr="00F8530F">
        <w:rPr>
          <w:sz w:val="24"/>
          <w:szCs w:val="24"/>
          <w:lang w:eastAsia="sr-Latn-CS"/>
        </w:rPr>
        <w:t xml:space="preserve"> i </w:t>
      </w:r>
      <w:r w:rsidRPr="00F8530F">
        <w:rPr>
          <w:b/>
          <w:sz w:val="24"/>
          <w:szCs w:val="24"/>
          <w:lang w:eastAsia="sr-Latn-CS"/>
        </w:rPr>
        <w:t>celokupnog uređenja javnog sektora</w:t>
      </w:r>
      <w:r w:rsidRPr="00F8530F">
        <w:rPr>
          <w:sz w:val="24"/>
          <w:szCs w:val="24"/>
          <w:lang w:eastAsia="sr-Latn-CS"/>
        </w:rPr>
        <w:t xml:space="preserve">, poštovanje i jačanje </w:t>
      </w:r>
      <w:r w:rsidRPr="00F8530F">
        <w:rPr>
          <w:b/>
          <w:sz w:val="24"/>
          <w:szCs w:val="24"/>
          <w:lang w:eastAsia="sr-Latn-CS"/>
        </w:rPr>
        <w:t>uloge nezavisnih državnih organa</w:t>
      </w:r>
      <w:r w:rsidRPr="00F8530F">
        <w:rPr>
          <w:sz w:val="24"/>
          <w:szCs w:val="24"/>
          <w:lang w:eastAsia="sr-Latn-CS"/>
        </w:rPr>
        <w:t xml:space="preserve"> (Antikorupcijska agencija, Poverenik za informacije, Državna revizorska insitucija, Zaštitnik građana) i obezbeđenje primene njihovih odluka i preporuka, obezbeđivanje </w:t>
      </w:r>
      <w:r w:rsidRPr="00F8530F">
        <w:rPr>
          <w:b/>
          <w:sz w:val="24"/>
          <w:szCs w:val="24"/>
          <w:lang w:eastAsia="sr-Latn-CS"/>
        </w:rPr>
        <w:t>javnosti medijskog vlasništva</w:t>
      </w:r>
      <w:r w:rsidRPr="00F8530F">
        <w:rPr>
          <w:sz w:val="24"/>
          <w:szCs w:val="24"/>
          <w:lang w:eastAsia="sr-Latn-CS"/>
        </w:rPr>
        <w:t xml:space="preserve"> i </w:t>
      </w:r>
      <w:r w:rsidRPr="00F8530F">
        <w:rPr>
          <w:sz w:val="24"/>
          <w:szCs w:val="24"/>
          <w:lang w:eastAsia="sr-Latn-CS"/>
        </w:rPr>
        <w:lastRenderedPageBreak/>
        <w:t xml:space="preserve">finansiranja medija, </w:t>
      </w:r>
      <w:r w:rsidRPr="00F8530F">
        <w:rPr>
          <w:b/>
          <w:sz w:val="24"/>
          <w:szCs w:val="24"/>
          <w:lang w:eastAsia="sr-Latn-CS"/>
        </w:rPr>
        <w:t>nezavisno, efikasno i odgovorno pravosuđe</w:t>
      </w:r>
      <w:r w:rsidRPr="00F8530F">
        <w:rPr>
          <w:sz w:val="24"/>
          <w:szCs w:val="24"/>
          <w:lang w:eastAsia="sr-Latn-CS"/>
        </w:rPr>
        <w:t xml:space="preserve">, zaštita </w:t>
      </w:r>
      <w:r w:rsidRPr="00F8530F">
        <w:rPr>
          <w:b/>
          <w:sz w:val="24"/>
          <w:szCs w:val="24"/>
          <w:lang w:eastAsia="sr-Latn-CS"/>
        </w:rPr>
        <w:t>uzbunjivača i svedoka korupcije</w:t>
      </w:r>
      <w:r w:rsidRPr="00F8530F">
        <w:rPr>
          <w:sz w:val="24"/>
          <w:szCs w:val="24"/>
          <w:lang w:eastAsia="sr-Latn-CS"/>
        </w:rPr>
        <w:t xml:space="preserve">, </w:t>
      </w:r>
      <w:r w:rsidRPr="00F8530F">
        <w:rPr>
          <w:b/>
          <w:sz w:val="24"/>
          <w:szCs w:val="24"/>
          <w:lang w:eastAsia="sr-Latn-CS"/>
        </w:rPr>
        <w:t>proaktivni pristup</w:t>
      </w:r>
      <w:r w:rsidRPr="00F8530F">
        <w:rPr>
          <w:sz w:val="24"/>
          <w:szCs w:val="24"/>
          <w:lang w:eastAsia="sr-Latn-CS"/>
        </w:rPr>
        <w:t xml:space="preserve"> u istraživanju korupcije, mere za </w:t>
      </w:r>
      <w:r w:rsidRPr="00F8530F">
        <w:rPr>
          <w:b/>
          <w:sz w:val="24"/>
          <w:szCs w:val="24"/>
          <w:lang w:eastAsia="sr-Latn-CS"/>
        </w:rPr>
        <w:t>kontrolu imovine javnih funkcionera i službenika</w:t>
      </w:r>
      <w:r w:rsidRPr="00F8530F">
        <w:rPr>
          <w:sz w:val="24"/>
          <w:szCs w:val="24"/>
          <w:lang w:eastAsia="sr-Latn-CS"/>
        </w:rPr>
        <w:t xml:space="preserve">, striktna </w:t>
      </w:r>
      <w:r w:rsidRPr="00F8530F">
        <w:rPr>
          <w:b/>
          <w:sz w:val="24"/>
          <w:szCs w:val="24"/>
          <w:lang w:eastAsia="sr-Latn-CS"/>
        </w:rPr>
        <w:t>kontrola tačnosti i potpunosti izveštaja o finansiranju kampanja i političkih stranaka</w:t>
      </w:r>
      <w:r w:rsidRPr="00F8530F">
        <w:rPr>
          <w:sz w:val="24"/>
          <w:szCs w:val="24"/>
          <w:lang w:eastAsia="sr-Latn-CS"/>
        </w:rPr>
        <w:t xml:space="preserve">, ispitivanje sumnji i navoda o kupovini glasova na izborima i zloupotrebama javnih resursa u kampanjama, rešavanje svih slučajeva u kojima se sumnjalo u korupciju </w:t>
      </w:r>
      <w:r w:rsidRPr="00F8530F">
        <w:rPr>
          <w:b/>
          <w:sz w:val="24"/>
          <w:szCs w:val="24"/>
          <w:lang w:eastAsia="sr-Latn-CS"/>
        </w:rPr>
        <w:t>iz ranijih godina</w:t>
      </w:r>
      <w:r w:rsidRPr="00F8530F">
        <w:rPr>
          <w:sz w:val="24"/>
          <w:szCs w:val="24"/>
          <w:lang w:eastAsia="sr-Latn-CS"/>
        </w:rPr>
        <w:t xml:space="preserve"> ali i </w:t>
      </w:r>
      <w:r w:rsidRPr="00F8530F">
        <w:rPr>
          <w:b/>
          <w:sz w:val="24"/>
          <w:szCs w:val="24"/>
          <w:lang w:eastAsia="sr-Latn-CS"/>
        </w:rPr>
        <w:t>uspostavljanje strukture državnog represivnog aparata</w:t>
      </w:r>
      <w:r w:rsidRPr="00F8530F">
        <w:rPr>
          <w:sz w:val="24"/>
          <w:szCs w:val="24"/>
          <w:lang w:eastAsia="sr-Latn-CS"/>
        </w:rPr>
        <w:t xml:space="preserve"> koja će omogućiti da se takve radnje otkriju i kazne u budućnosti, umesto sadašnjih </w:t>
      </w:r>
      <w:r w:rsidRPr="00F8530F">
        <w:rPr>
          <w:i/>
          <w:sz w:val="24"/>
          <w:szCs w:val="24"/>
          <w:lang w:eastAsia="sr-Latn-CS"/>
        </w:rPr>
        <w:t>ad hoc</w:t>
      </w:r>
      <w:r w:rsidRPr="00F8530F">
        <w:rPr>
          <w:sz w:val="24"/>
          <w:szCs w:val="24"/>
          <w:lang w:eastAsia="sr-Latn-CS"/>
        </w:rPr>
        <w:t xml:space="preserve"> mehanizama.     </w:t>
      </w:r>
      <w:r w:rsidRPr="00F8530F">
        <w:rPr>
          <w:sz w:val="24"/>
          <w:szCs w:val="24"/>
          <w:lang w:val="sr-Latn-CS" w:eastAsia="sr-Latn-CS"/>
        </w:rPr>
        <w:t xml:space="preserve"> </w:t>
      </w: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CC5767" w:rsidRDefault="00CC5767" w:rsidP="00F8530F">
      <w:pPr>
        <w:suppressAutoHyphens w:val="0"/>
        <w:rPr>
          <w:b/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b/>
          <w:sz w:val="24"/>
          <w:szCs w:val="24"/>
          <w:lang w:val="sr-Latn-CS" w:eastAsia="sr-Latn-CS"/>
        </w:rPr>
      </w:pPr>
      <w:r w:rsidRPr="00F8530F">
        <w:rPr>
          <w:b/>
          <w:sz w:val="24"/>
          <w:szCs w:val="24"/>
          <w:lang w:val="sr-Latn-CS" w:eastAsia="sr-Latn-CS"/>
        </w:rPr>
        <w:t>Srbija na ovogodišnjoj listi:</w:t>
      </w: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  <w:r w:rsidRPr="00F8530F">
        <w:rPr>
          <w:sz w:val="24"/>
          <w:szCs w:val="24"/>
          <w:lang w:val="sr-Latn-CS" w:eastAsia="sr-Latn-CS"/>
        </w:rPr>
        <w:t>U 2012. godini promenjena je met</w:t>
      </w:r>
      <w:r>
        <w:rPr>
          <w:sz w:val="24"/>
          <w:szCs w:val="24"/>
          <w:lang w:val="sr-Latn-CS" w:eastAsia="sr-Latn-CS"/>
        </w:rPr>
        <w:t>odologija izračunavanja indeksa</w:t>
      </w:r>
      <w:r w:rsidRPr="00F8530F">
        <w:rPr>
          <w:sz w:val="24"/>
          <w:szCs w:val="24"/>
          <w:lang w:val="sr-Latn-CS" w:eastAsia="sr-Latn-CS"/>
        </w:rPr>
        <w:t xml:space="preserve"> i umesto dotadašnje ocene od 0 do 10, uvedeno je ocenjivanje od 0 do 100. Rezultati iz 2011. i ranije ne mogu se porediti jednostavnim množenjem sa 10, zbog drugačije metodologije, ali je moguće porediti poziciju na tabeli i poziciju u odnosu na druge zemlje. Evo kako su se indeks i pozicija Srbije, odnosno SRJ i SCG, menjali od 2000. godine do danas:</w:t>
      </w: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tbl>
      <w:tblPr>
        <w:tblpPr w:leftFromText="141" w:rightFromText="141" w:vertAnchor="text" w:horzAnchor="margin" w:tblpY="-31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3"/>
        <w:gridCol w:w="567"/>
        <w:gridCol w:w="567"/>
        <w:gridCol w:w="567"/>
        <w:gridCol w:w="708"/>
        <w:gridCol w:w="595"/>
        <w:gridCol w:w="720"/>
        <w:gridCol w:w="720"/>
        <w:gridCol w:w="720"/>
        <w:gridCol w:w="720"/>
        <w:gridCol w:w="720"/>
        <w:gridCol w:w="720"/>
      </w:tblGrid>
      <w:tr w:rsidR="00F8530F" w:rsidRPr="00F8530F" w:rsidTr="00CC5767">
        <w:trPr>
          <w:trHeight w:val="1425"/>
          <w:tblCellSpacing w:w="0" w:type="dxa"/>
        </w:trPr>
        <w:tc>
          <w:tcPr>
            <w:tcW w:w="1023" w:type="dxa"/>
            <w:shd w:val="clear" w:color="auto" w:fill="CCCCFF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Godina</w:t>
            </w:r>
          </w:p>
        </w:tc>
        <w:tc>
          <w:tcPr>
            <w:tcW w:w="567" w:type="dxa"/>
            <w:shd w:val="clear" w:color="auto" w:fill="CCCCFF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bCs/>
                <w:iCs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iCs/>
                <w:sz w:val="24"/>
                <w:szCs w:val="24"/>
                <w:lang w:val="sr-Latn-CS" w:eastAsia="sr-Latn-CS"/>
              </w:rPr>
              <w:t>2000</w:t>
            </w:r>
          </w:p>
        </w:tc>
        <w:tc>
          <w:tcPr>
            <w:tcW w:w="567" w:type="dxa"/>
            <w:shd w:val="clear" w:color="auto" w:fill="CCCCFF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2003</w:t>
            </w:r>
          </w:p>
        </w:tc>
        <w:tc>
          <w:tcPr>
            <w:tcW w:w="567" w:type="dxa"/>
            <w:shd w:val="clear" w:color="auto" w:fill="CCCCFF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2004</w:t>
            </w:r>
          </w:p>
        </w:tc>
        <w:tc>
          <w:tcPr>
            <w:tcW w:w="708" w:type="dxa"/>
            <w:shd w:val="clear" w:color="auto" w:fill="CCCCFF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2006</w:t>
            </w:r>
          </w:p>
        </w:tc>
        <w:tc>
          <w:tcPr>
            <w:tcW w:w="595" w:type="dxa"/>
            <w:shd w:val="clear" w:color="auto" w:fill="CCCCFF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2007</w:t>
            </w:r>
          </w:p>
        </w:tc>
        <w:tc>
          <w:tcPr>
            <w:tcW w:w="720" w:type="dxa"/>
            <w:shd w:val="clear" w:color="auto" w:fill="CCCCFF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2008</w:t>
            </w:r>
          </w:p>
        </w:tc>
        <w:tc>
          <w:tcPr>
            <w:tcW w:w="720" w:type="dxa"/>
            <w:shd w:val="clear" w:color="auto" w:fill="CCCCFF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2009</w:t>
            </w:r>
          </w:p>
        </w:tc>
        <w:tc>
          <w:tcPr>
            <w:tcW w:w="720" w:type="dxa"/>
            <w:shd w:val="clear" w:color="auto" w:fill="CCCCFF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2010</w:t>
            </w:r>
          </w:p>
        </w:tc>
        <w:tc>
          <w:tcPr>
            <w:tcW w:w="720" w:type="dxa"/>
            <w:shd w:val="clear" w:color="auto" w:fill="CCCCFF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2011</w:t>
            </w:r>
          </w:p>
        </w:tc>
        <w:tc>
          <w:tcPr>
            <w:tcW w:w="720" w:type="dxa"/>
            <w:shd w:val="clear" w:color="auto" w:fill="CCCCFF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2012</w:t>
            </w:r>
          </w:p>
        </w:tc>
        <w:tc>
          <w:tcPr>
            <w:tcW w:w="720" w:type="dxa"/>
            <w:shd w:val="clear" w:color="auto" w:fill="CCCCFF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2013</w:t>
            </w:r>
          </w:p>
        </w:tc>
      </w:tr>
      <w:tr w:rsidR="00F8530F" w:rsidRPr="00F8530F" w:rsidTr="00CC5767">
        <w:trPr>
          <w:trHeight w:val="525"/>
          <w:tblCellSpacing w:w="0" w:type="dxa"/>
        </w:trPr>
        <w:tc>
          <w:tcPr>
            <w:tcW w:w="102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Skor</w:t>
            </w:r>
          </w:p>
        </w:tc>
        <w:tc>
          <w:tcPr>
            <w:tcW w:w="567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1,3</w:t>
            </w:r>
          </w:p>
        </w:tc>
        <w:tc>
          <w:tcPr>
            <w:tcW w:w="567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2,3</w:t>
            </w:r>
          </w:p>
        </w:tc>
        <w:tc>
          <w:tcPr>
            <w:tcW w:w="567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2,7</w:t>
            </w:r>
          </w:p>
        </w:tc>
        <w:tc>
          <w:tcPr>
            <w:tcW w:w="708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3,0</w:t>
            </w:r>
          </w:p>
        </w:tc>
        <w:tc>
          <w:tcPr>
            <w:tcW w:w="595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3,4</w:t>
            </w:r>
          </w:p>
        </w:tc>
        <w:tc>
          <w:tcPr>
            <w:tcW w:w="720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3,4</w:t>
            </w:r>
          </w:p>
        </w:tc>
        <w:tc>
          <w:tcPr>
            <w:tcW w:w="720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3,5</w:t>
            </w:r>
          </w:p>
        </w:tc>
        <w:tc>
          <w:tcPr>
            <w:tcW w:w="720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3,5</w:t>
            </w:r>
          </w:p>
        </w:tc>
        <w:tc>
          <w:tcPr>
            <w:tcW w:w="720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3,3</w:t>
            </w:r>
          </w:p>
        </w:tc>
        <w:tc>
          <w:tcPr>
            <w:tcW w:w="720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39</w:t>
            </w:r>
          </w:p>
        </w:tc>
        <w:tc>
          <w:tcPr>
            <w:tcW w:w="720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en-US" w:eastAsia="sr-Latn-CS"/>
              </w:rPr>
            </w:pPr>
            <w:r w:rsidRPr="00F8530F">
              <w:rPr>
                <w:b/>
                <w:sz w:val="24"/>
                <w:szCs w:val="24"/>
                <w:lang w:val="en-US" w:eastAsia="sr-Latn-CS"/>
              </w:rPr>
              <w:t>42</w:t>
            </w:r>
          </w:p>
        </w:tc>
      </w:tr>
      <w:tr w:rsidR="00F8530F" w:rsidRPr="00F8530F" w:rsidTr="00CC5767">
        <w:trPr>
          <w:trHeight w:val="525"/>
          <w:tblCellSpacing w:w="0" w:type="dxa"/>
        </w:trPr>
        <w:tc>
          <w:tcPr>
            <w:tcW w:w="102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Pozicija/ukupan broj zemalja</w:t>
            </w:r>
          </w:p>
        </w:tc>
        <w:tc>
          <w:tcPr>
            <w:tcW w:w="567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89/</w:t>
            </w:r>
          </w:p>
          <w:p w:rsidR="00F8530F" w:rsidRPr="00F8530F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90</w:t>
            </w:r>
          </w:p>
        </w:tc>
        <w:tc>
          <w:tcPr>
            <w:tcW w:w="567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106/133</w:t>
            </w:r>
          </w:p>
        </w:tc>
        <w:tc>
          <w:tcPr>
            <w:tcW w:w="567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97/</w:t>
            </w:r>
          </w:p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145</w:t>
            </w:r>
          </w:p>
        </w:tc>
        <w:tc>
          <w:tcPr>
            <w:tcW w:w="708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90/</w:t>
            </w:r>
          </w:p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163</w:t>
            </w:r>
          </w:p>
        </w:tc>
        <w:tc>
          <w:tcPr>
            <w:tcW w:w="595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79/</w:t>
            </w:r>
          </w:p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179</w:t>
            </w:r>
          </w:p>
        </w:tc>
        <w:tc>
          <w:tcPr>
            <w:tcW w:w="720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85/</w:t>
            </w:r>
          </w:p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180</w:t>
            </w:r>
          </w:p>
        </w:tc>
        <w:tc>
          <w:tcPr>
            <w:tcW w:w="720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83/</w:t>
            </w:r>
          </w:p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180</w:t>
            </w:r>
          </w:p>
        </w:tc>
        <w:tc>
          <w:tcPr>
            <w:tcW w:w="720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78/</w:t>
            </w:r>
          </w:p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178</w:t>
            </w:r>
          </w:p>
        </w:tc>
        <w:tc>
          <w:tcPr>
            <w:tcW w:w="720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86/</w:t>
            </w:r>
          </w:p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183</w:t>
            </w:r>
          </w:p>
        </w:tc>
        <w:tc>
          <w:tcPr>
            <w:tcW w:w="720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80/</w:t>
            </w:r>
          </w:p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176</w:t>
            </w:r>
          </w:p>
        </w:tc>
        <w:tc>
          <w:tcPr>
            <w:tcW w:w="720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72/</w:t>
            </w:r>
          </w:p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177</w:t>
            </w:r>
          </w:p>
        </w:tc>
      </w:tr>
    </w:tbl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  <w:r w:rsidRPr="00F8530F">
        <w:rPr>
          <w:sz w:val="24"/>
          <w:szCs w:val="24"/>
          <w:lang w:val="sr-Latn-CS" w:eastAsia="sr-Latn-CS"/>
        </w:rPr>
        <w:t>Srbija je na ovogodišnjoj listi pretekla Bugarsku i stigla Bosnu i Hercegovinu. Isti indeks, kao Srbija i BiH, imaju i Sao Tome i Principe i Južna Afrika. Prošle godine bili smo u društvu Kine i Trinidada i Tobaga.</w:t>
      </w:r>
    </w:p>
    <w:p w:rsidR="00F8530F" w:rsidRP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jc w:val="both"/>
        <w:rPr>
          <w:sz w:val="24"/>
          <w:szCs w:val="24"/>
          <w:lang w:val="sr-Latn-CS" w:eastAsia="sr-Latn-CS"/>
        </w:rPr>
      </w:pPr>
      <w:r w:rsidRPr="00F8530F">
        <w:rPr>
          <w:sz w:val="24"/>
          <w:szCs w:val="24"/>
          <w:lang w:val="sr-Latn-CS" w:eastAsia="sr-Latn-CS"/>
        </w:rPr>
        <w:t>Umesto Šri Lanke, ove godine nesporedno ispred nas su Italija, Kuvajt i Rumunija, a iza nas su Bugarska, Senegal i Tunis. Burkina Faso, Salvador, Jamajka i Peru, koji su bili neposredno iza Srbije 2012. godine, zadržali su isti indeks, dok je Panama nazadovala.</w:t>
      </w: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  <w:r>
        <w:rPr>
          <w:sz w:val="24"/>
          <w:szCs w:val="24"/>
          <w:lang w:val="sr-Latn-CS" w:eastAsia="sr-Latn-CS"/>
        </w:rPr>
        <w:br w:type="page"/>
      </w:r>
      <w:r w:rsidRPr="00F8530F">
        <w:rPr>
          <w:sz w:val="24"/>
          <w:szCs w:val="24"/>
          <w:lang w:val="sr-Latn-CS" w:eastAsia="sr-Latn-CS"/>
        </w:rPr>
        <w:lastRenderedPageBreak/>
        <w:t>Rangiranje jugoistočne Evrope:</w:t>
      </w: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tbl>
      <w:tblPr>
        <w:tblpPr w:leftFromText="141" w:rightFromText="141" w:vertAnchor="text" w:horzAnchor="margin" w:tblpY="74"/>
        <w:tblW w:w="61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103"/>
        <w:gridCol w:w="2219"/>
        <w:gridCol w:w="1103"/>
        <w:gridCol w:w="1755"/>
      </w:tblGrid>
      <w:tr w:rsidR="00F8530F" w:rsidRPr="00F8530F" w:rsidTr="00CC5767">
        <w:trPr>
          <w:trHeight w:val="1425"/>
          <w:tblCellSpacing w:w="0" w:type="dxa"/>
        </w:trPr>
        <w:tc>
          <w:tcPr>
            <w:tcW w:w="1103" w:type="dxa"/>
            <w:shd w:val="clear" w:color="auto" w:fill="CCCCFF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i/>
                <w:iCs/>
                <w:sz w:val="24"/>
                <w:szCs w:val="24"/>
                <w:lang w:eastAsia="sr-Latn-CS"/>
              </w:rPr>
              <w:t>Ra</w:t>
            </w:r>
            <w:r w:rsidRPr="00F8530F">
              <w:rPr>
                <w:b/>
                <w:bCs/>
                <w:i/>
                <w:iCs/>
                <w:sz w:val="24"/>
                <w:szCs w:val="24"/>
                <w:lang w:val="sr-Latn-CS" w:eastAsia="sr-Latn-CS"/>
              </w:rPr>
              <w:t>ng</w:t>
            </w:r>
          </w:p>
        </w:tc>
        <w:tc>
          <w:tcPr>
            <w:tcW w:w="2219" w:type="dxa"/>
            <w:shd w:val="clear" w:color="auto" w:fill="CCCCFF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i/>
                <w:iCs/>
                <w:sz w:val="24"/>
                <w:szCs w:val="24"/>
                <w:lang w:val="sr-Latn-CS" w:eastAsia="sr-Latn-CS"/>
              </w:rPr>
              <w:t>Zemlja</w:t>
            </w:r>
            <w:r w:rsidRPr="00F8530F">
              <w:rPr>
                <w:sz w:val="24"/>
                <w:szCs w:val="24"/>
                <w:lang w:val="sr-Latn-CS" w:eastAsia="sr-Latn-CS"/>
              </w:rPr>
              <w:t xml:space="preserve"> / </w:t>
            </w:r>
            <w:r w:rsidRPr="00F8530F">
              <w:rPr>
                <w:b/>
                <w:i/>
                <w:sz w:val="24"/>
                <w:szCs w:val="24"/>
                <w:lang w:val="sr-Latn-CS" w:eastAsia="sr-Latn-CS"/>
              </w:rPr>
              <w:t>teritorija</w:t>
            </w:r>
          </w:p>
        </w:tc>
        <w:tc>
          <w:tcPr>
            <w:tcW w:w="1103" w:type="dxa"/>
            <w:shd w:val="clear" w:color="auto" w:fill="CCCCFF"/>
            <w:vAlign w:val="center"/>
          </w:tcPr>
          <w:p w:rsidR="00F8530F" w:rsidRPr="00F8530F" w:rsidRDefault="00F8530F" w:rsidP="00F8530F">
            <w:pPr>
              <w:suppressAutoHyphens w:val="0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 xml:space="preserve">Skor 2012 </w:t>
            </w:r>
          </w:p>
        </w:tc>
        <w:tc>
          <w:tcPr>
            <w:tcW w:w="1755" w:type="dxa"/>
            <w:shd w:val="clear" w:color="auto" w:fill="CCCCFF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Skor 2013 (promena)</w:t>
            </w:r>
          </w:p>
        </w:tc>
      </w:tr>
      <w:tr w:rsidR="00F8530F" w:rsidRPr="00F8530F" w:rsidTr="00CC5767">
        <w:trPr>
          <w:trHeight w:val="525"/>
          <w:tblCellSpacing w:w="0" w:type="dxa"/>
        </w:trPr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43</w:t>
            </w:r>
          </w:p>
        </w:tc>
        <w:tc>
          <w:tcPr>
            <w:tcW w:w="2219" w:type="dxa"/>
            <w:vAlign w:val="center"/>
          </w:tcPr>
          <w:p w:rsidR="00F8530F" w:rsidRPr="00F8530F" w:rsidRDefault="00F8530F" w:rsidP="00F8530F">
            <w:pPr>
              <w:suppressAutoHyphens w:val="0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Slovenija</w:t>
            </w:r>
            <w:r w:rsidRPr="00F8530F">
              <w:rPr>
                <w:sz w:val="24"/>
                <w:szCs w:val="24"/>
                <w:lang w:val="sr-Latn-CS" w:eastAsia="sr-Latn-CS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61</w:t>
            </w:r>
          </w:p>
        </w:tc>
        <w:tc>
          <w:tcPr>
            <w:tcW w:w="1755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en-US" w:eastAsia="sr-Latn-CS"/>
              </w:rPr>
              <w:t>57 (-4)</w:t>
            </w:r>
          </w:p>
        </w:tc>
      </w:tr>
      <w:tr w:rsidR="00F8530F" w:rsidRPr="00F8530F" w:rsidTr="00CC5767">
        <w:trPr>
          <w:trHeight w:val="510"/>
          <w:tblCellSpacing w:w="0" w:type="dxa"/>
        </w:trPr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53</w:t>
            </w:r>
          </w:p>
        </w:tc>
        <w:tc>
          <w:tcPr>
            <w:tcW w:w="2219" w:type="dxa"/>
            <w:vAlign w:val="center"/>
          </w:tcPr>
          <w:p w:rsidR="00F8530F" w:rsidRPr="00F8530F" w:rsidRDefault="00F8530F" w:rsidP="00F8530F">
            <w:pPr>
              <w:suppressAutoHyphens w:val="0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Turska</w:t>
            </w:r>
          </w:p>
        </w:tc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>
              <w:rPr>
                <w:b/>
                <w:sz w:val="24"/>
                <w:szCs w:val="24"/>
                <w:lang w:val="sr-Latn-CS" w:eastAsia="sr-Latn-CS"/>
              </w:rPr>
              <w:t>49</w:t>
            </w:r>
          </w:p>
        </w:tc>
        <w:tc>
          <w:tcPr>
            <w:tcW w:w="1755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>
              <w:rPr>
                <w:b/>
                <w:sz w:val="24"/>
                <w:szCs w:val="24"/>
                <w:lang w:val="sr-Latn-CS" w:eastAsia="sr-Latn-CS"/>
              </w:rPr>
              <w:t>50 (+1)</w:t>
            </w:r>
          </w:p>
        </w:tc>
      </w:tr>
      <w:tr w:rsidR="00F8530F" w:rsidRPr="00F8530F" w:rsidTr="00CC5767">
        <w:trPr>
          <w:trHeight w:val="405"/>
          <w:tblCellSpacing w:w="0" w:type="dxa"/>
        </w:trPr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eastAsia="sr-Latn-CS"/>
              </w:rPr>
              <w:t>57</w:t>
            </w:r>
          </w:p>
        </w:tc>
        <w:tc>
          <w:tcPr>
            <w:tcW w:w="2219" w:type="dxa"/>
            <w:vAlign w:val="center"/>
          </w:tcPr>
          <w:p w:rsidR="00F8530F" w:rsidRPr="00F8530F" w:rsidRDefault="00F8530F" w:rsidP="00F8530F">
            <w:pPr>
              <w:suppressAutoHyphens w:val="0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Hrvatska</w:t>
            </w:r>
            <w:r w:rsidRPr="00F8530F">
              <w:rPr>
                <w:sz w:val="24"/>
                <w:szCs w:val="24"/>
                <w:lang w:val="sr-Latn-CS" w:eastAsia="sr-Latn-CS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46</w:t>
            </w:r>
          </w:p>
        </w:tc>
        <w:tc>
          <w:tcPr>
            <w:tcW w:w="1755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48 (+2)</w:t>
            </w:r>
          </w:p>
        </w:tc>
      </w:tr>
      <w:tr w:rsidR="00F8530F" w:rsidRPr="00F8530F" w:rsidTr="00CC5767">
        <w:trPr>
          <w:trHeight w:val="405"/>
          <w:tblCellSpacing w:w="0" w:type="dxa"/>
        </w:trPr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en-US" w:eastAsia="sr-Latn-CS"/>
              </w:rPr>
              <w:t>6</w:t>
            </w: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7</w:t>
            </w:r>
          </w:p>
        </w:tc>
        <w:tc>
          <w:tcPr>
            <w:tcW w:w="2219" w:type="dxa"/>
            <w:vAlign w:val="center"/>
          </w:tcPr>
          <w:p w:rsidR="00F8530F" w:rsidRPr="00F8530F" w:rsidRDefault="00F8530F" w:rsidP="00F8530F">
            <w:pPr>
              <w:suppressAutoHyphens w:val="0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Makedonija</w:t>
            </w:r>
            <w:r w:rsidRPr="00F8530F">
              <w:rPr>
                <w:sz w:val="24"/>
                <w:szCs w:val="24"/>
                <w:lang w:val="sr-Latn-CS" w:eastAsia="sr-Latn-CS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43</w:t>
            </w:r>
          </w:p>
        </w:tc>
        <w:tc>
          <w:tcPr>
            <w:tcW w:w="1755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44 (+1)</w:t>
            </w:r>
          </w:p>
        </w:tc>
      </w:tr>
      <w:tr w:rsidR="00F8530F" w:rsidRPr="00F8530F" w:rsidTr="00CC5767">
        <w:trPr>
          <w:trHeight w:val="405"/>
          <w:tblCellSpacing w:w="0" w:type="dxa"/>
        </w:trPr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eastAsia="sr-Latn-CS"/>
              </w:rPr>
              <w:t>67</w:t>
            </w:r>
          </w:p>
        </w:tc>
        <w:tc>
          <w:tcPr>
            <w:tcW w:w="2219" w:type="dxa"/>
            <w:vAlign w:val="center"/>
          </w:tcPr>
          <w:p w:rsidR="00F8530F" w:rsidRPr="00F8530F" w:rsidRDefault="00F8530F" w:rsidP="00F8530F">
            <w:pPr>
              <w:suppressAutoHyphens w:val="0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eastAsia="sr-Latn-CS"/>
              </w:rPr>
              <w:t xml:space="preserve">Crna Gora </w:t>
            </w:r>
          </w:p>
        </w:tc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41</w:t>
            </w:r>
          </w:p>
        </w:tc>
        <w:tc>
          <w:tcPr>
            <w:tcW w:w="1755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44 (+3)</w:t>
            </w:r>
          </w:p>
        </w:tc>
      </w:tr>
      <w:tr w:rsidR="00F8530F" w:rsidRPr="00F8530F" w:rsidTr="00CC5767">
        <w:trPr>
          <w:trHeight w:val="405"/>
          <w:tblCellSpacing w:w="0" w:type="dxa"/>
        </w:trPr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69</w:t>
            </w:r>
          </w:p>
        </w:tc>
        <w:tc>
          <w:tcPr>
            <w:tcW w:w="2219" w:type="dxa"/>
            <w:vAlign w:val="center"/>
          </w:tcPr>
          <w:p w:rsidR="00F8530F" w:rsidRPr="00F8530F" w:rsidRDefault="00F8530F" w:rsidP="00F8530F">
            <w:pPr>
              <w:suppressAutoHyphens w:val="0"/>
              <w:rPr>
                <w:b/>
                <w:bCs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Rumunija</w:t>
            </w:r>
          </w:p>
        </w:tc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44</w:t>
            </w:r>
          </w:p>
        </w:tc>
        <w:tc>
          <w:tcPr>
            <w:tcW w:w="1755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43 (-1)</w:t>
            </w:r>
          </w:p>
        </w:tc>
      </w:tr>
      <w:tr w:rsidR="00F8530F" w:rsidRPr="00F8530F" w:rsidTr="00CC5767">
        <w:trPr>
          <w:trHeight w:val="405"/>
          <w:tblCellSpacing w:w="0" w:type="dxa"/>
        </w:trPr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72</w:t>
            </w:r>
          </w:p>
        </w:tc>
        <w:tc>
          <w:tcPr>
            <w:tcW w:w="2219" w:type="dxa"/>
            <w:vAlign w:val="center"/>
          </w:tcPr>
          <w:p w:rsidR="00F8530F" w:rsidRPr="00F8530F" w:rsidRDefault="00F8530F" w:rsidP="00F8530F">
            <w:pPr>
              <w:suppressAutoHyphens w:val="0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BiH</w:t>
            </w:r>
            <w:r w:rsidRPr="00F8530F">
              <w:rPr>
                <w:sz w:val="24"/>
                <w:szCs w:val="24"/>
                <w:lang w:val="sr-Latn-CS" w:eastAsia="sr-Latn-CS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42</w:t>
            </w:r>
          </w:p>
        </w:tc>
        <w:tc>
          <w:tcPr>
            <w:tcW w:w="1755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42 (0)</w:t>
            </w:r>
          </w:p>
        </w:tc>
      </w:tr>
      <w:tr w:rsidR="00F8530F" w:rsidRPr="00F8530F" w:rsidTr="00CC5767">
        <w:trPr>
          <w:trHeight w:val="405"/>
          <w:tblCellSpacing w:w="0" w:type="dxa"/>
        </w:trPr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72</w:t>
            </w:r>
          </w:p>
        </w:tc>
        <w:tc>
          <w:tcPr>
            <w:tcW w:w="2219" w:type="dxa"/>
            <w:vAlign w:val="center"/>
          </w:tcPr>
          <w:p w:rsidR="00F8530F" w:rsidRPr="00F8530F" w:rsidRDefault="00F8530F" w:rsidP="00F8530F">
            <w:pPr>
              <w:suppressAutoHyphens w:val="0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 xml:space="preserve">Srbija </w:t>
            </w:r>
          </w:p>
        </w:tc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>39</w:t>
            </w:r>
          </w:p>
        </w:tc>
        <w:tc>
          <w:tcPr>
            <w:tcW w:w="1755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bCs/>
                <w:sz w:val="24"/>
                <w:szCs w:val="24"/>
                <w:lang w:val="sr-Latn-CS" w:eastAsia="sr-Latn-CS"/>
              </w:rPr>
              <w:t xml:space="preserve">42 </w:t>
            </w:r>
            <w:r w:rsidRPr="00F8530F">
              <w:rPr>
                <w:b/>
                <w:sz w:val="24"/>
                <w:szCs w:val="24"/>
                <w:lang w:val="sr-Latn-CS" w:eastAsia="sr-Latn-CS"/>
              </w:rPr>
              <w:t>(+3)</w:t>
            </w:r>
          </w:p>
        </w:tc>
      </w:tr>
      <w:tr w:rsidR="00F8530F" w:rsidRPr="00F8530F" w:rsidTr="00CC5767">
        <w:trPr>
          <w:trHeight w:val="405"/>
          <w:tblCellSpacing w:w="0" w:type="dxa"/>
        </w:trPr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77</w:t>
            </w:r>
          </w:p>
        </w:tc>
        <w:tc>
          <w:tcPr>
            <w:tcW w:w="2219" w:type="dxa"/>
            <w:vAlign w:val="center"/>
          </w:tcPr>
          <w:p w:rsidR="00F8530F" w:rsidRPr="00F8530F" w:rsidRDefault="00F8530F" w:rsidP="00F8530F">
            <w:pPr>
              <w:suppressAutoHyphens w:val="0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Bugarska</w:t>
            </w:r>
          </w:p>
        </w:tc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41</w:t>
            </w:r>
          </w:p>
        </w:tc>
        <w:tc>
          <w:tcPr>
            <w:tcW w:w="1755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41 (0)</w:t>
            </w:r>
          </w:p>
        </w:tc>
      </w:tr>
      <w:tr w:rsidR="00F8530F" w:rsidRPr="00F8530F" w:rsidTr="00CC5767">
        <w:trPr>
          <w:trHeight w:val="495"/>
          <w:tblCellSpacing w:w="0" w:type="dxa"/>
        </w:trPr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>
              <w:rPr>
                <w:b/>
                <w:sz w:val="24"/>
                <w:szCs w:val="24"/>
                <w:lang w:val="sr-Latn-CS" w:eastAsia="sr-Latn-CS"/>
              </w:rPr>
              <w:t>80</w:t>
            </w:r>
          </w:p>
        </w:tc>
        <w:tc>
          <w:tcPr>
            <w:tcW w:w="2219" w:type="dxa"/>
            <w:vAlign w:val="center"/>
          </w:tcPr>
          <w:p w:rsidR="00F8530F" w:rsidRPr="00F8530F" w:rsidRDefault="00F8530F" w:rsidP="00F8530F">
            <w:pPr>
              <w:suppressAutoHyphens w:val="0"/>
              <w:rPr>
                <w:b/>
                <w:sz w:val="24"/>
                <w:szCs w:val="24"/>
                <w:lang w:val="sr-Latn-CS" w:eastAsia="sr-Latn-CS"/>
              </w:rPr>
            </w:pPr>
            <w:r>
              <w:rPr>
                <w:b/>
                <w:sz w:val="24"/>
                <w:szCs w:val="24"/>
                <w:lang w:val="sr-Latn-CS" w:eastAsia="sr-Latn-CS"/>
              </w:rPr>
              <w:t xml:space="preserve"> Gr</w:t>
            </w:r>
            <w:r>
              <w:rPr>
                <w:b/>
                <w:sz w:val="24"/>
                <w:szCs w:val="24"/>
                <w:lang w:eastAsia="sr-Latn-CS"/>
              </w:rPr>
              <w:t>č</w:t>
            </w:r>
            <w:r>
              <w:rPr>
                <w:b/>
                <w:sz w:val="24"/>
                <w:szCs w:val="24"/>
                <w:lang w:val="sr-Latn-CS" w:eastAsia="sr-Latn-CS"/>
              </w:rPr>
              <w:t>ka</w:t>
            </w:r>
          </w:p>
        </w:tc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>
              <w:rPr>
                <w:b/>
                <w:sz w:val="24"/>
                <w:szCs w:val="24"/>
                <w:lang w:val="sr-Latn-CS" w:eastAsia="sr-Latn-CS"/>
              </w:rPr>
              <w:t>36</w:t>
            </w:r>
          </w:p>
        </w:tc>
        <w:tc>
          <w:tcPr>
            <w:tcW w:w="1755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>
              <w:rPr>
                <w:b/>
                <w:sz w:val="24"/>
                <w:szCs w:val="24"/>
                <w:lang w:val="sr-Latn-CS" w:eastAsia="sr-Latn-CS"/>
              </w:rPr>
              <w:t>40 (+4)</w:t>
            </w:r>
          </w:p>
        </w:tc>
      </w:tr>
      <w:tr w:rsidR="00F8530F" w:rsidRPr="00F8530F" w:rsidTr="00CC5767">
        <w:trPr>
          <w:trHeight w:val="540"/>
          <w:tblCellSpacing w:w="0" w:type="dxa"/>
        </w:trPr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111</w:t>
            </w:r>
          </w:p>
        </w:tc>
        <w:tc>
          <w:tcPr>
            <w:tcW w:w="2219" w:type="dxa"/>
            <w:vAlign w:val="center"/>
          </w:tcPr>
          <w:p w:rsidR="00F8530F" w:rsidRPr="00F8530F" w:rsidRDefault="00F8530F" w:rsidP="00F8530F">
            <w:pPr>
              <w:suppressAutoHyphens w:val="0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Kosovo</w:t>
            </w:r>
          </w:p>
        </w:tc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34</w:t>
            </w:r>
          </w:p>
        </w:tc>
        <w:tc>
          <w:tcPr>
            <w:tcW w:w="1755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33 (-1)</w:t>
            </w:r>
          </w:p>
        </w:tc>
      </w:tr>
      <w:tr w:rsidR="00F8530F" w:rsidRPr="00F8530F" w:rsidTr="00CC5767">
        <w:trPr>
          <w:trHeight w:val="540"/>
          <w:tblCellSpacing w:w="0" w:type="dxa"/>
        </w:trPr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116</w:t>
            </w:r>
          </w:p>
        </w:tc>
        <w:tc>
          <w:tcPr>
            <w:tcW w:w="2219" w:type="dxa"/>
            <w:vAlign w:val="center"/>
          </w:tcPr>
          <w:p w:rsidR="00F8530F" w:rsidRPr="00F8530F" w:rsidRDefault="00F8530F" w:rsidP="00F8530F">
            <w:pPr>
              <w:suppressAutoHyphens w:val="0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Albanija</w:t>
            </w:r>
          </w:p>
        </w:tc>
        <w:tc>
          <w:tcPr>
            <w:tcW w:w="1103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33</w:t>
            </w:r>
          </w:p>
        </w:tc>
        <w:tc>
          <w:tcPr>
            <w:tcW w:w="1755" w:type="dxa"/>
            <w:vAlign w:val="center"/>
          </w:tcPr>
          <w:p w:rsidR="00F8530F" w:rsidRPr="00F8530F" w:rsidRDefault="00F8530F" w:rsidP="00F8530F">
            <w:pPr>
              <w:suppressAutoHyphens w:val="0"/>
              <w:jc w:val="center"/>
              <w:rPr>
                <w:b/>
                <w:sz w:val="24"/>
                <w:szCs w:val="24"/>
                <w:lang w:val="sr-Latn-CS" w:eastAsia="sr-Latn-CS"/>
              </w:rPr>
            </w:pPr>
            <w:r w:rsidRPr="00F8530F">
              <w:rPr>
                <w:b/>
                <w:sz w:val="24"/>
                <w:szCs w:val="24"/>
                <w:lang w:val="sr-Latn-CS" w:eastAsia="sr-Latn-CS"/>
              </w:rPr>
              <w:t>31 (-2)</w:t>
            </w:r>
          </w:p>
        </w:tc>
      </w:tr>
    </w:tbl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rPr>
          <w:b/>
          <w:bCs/>
          <w:sz w:val="24"/>
          <w:szCs w:val="24"/>
          <w:lang w:val="pl-PL" w:eastAsia="sr-Latn-CS"/>
        </w:rPr>
      </w:pPr>
    </w:p>
    <w:p w:rsidR="00F8530F" w:rsidRPr="00F8530F" w:rsidRDefault="00F8530F" w:rsidP="00F8530F">
      <w:pPr>
        <w:suppressAutoHyphens w:val="0"/>
        <w:rPr>
          <w:b/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F8530F" w:rsidRDefault="00F8530F" w:rsidP="00F8530F">
      <w:pPr>
        <w:suppressAutoHyphens w:val="0"/>
        <w:rPr>
          <w:bCs/>
          <w:sz w:val="24"/>
          <w:szCs w:val="24"/>
          <w:lang w:val="pl-PL" w:eastAsia="sr-Latn-CS"/>
        </w:rPr>
      </w:pPr>
    </w:p>
    <w:p w:rsidR="00CC5767" w:rsidRDefault="00CC5767" w:rsidP="00F8530F">
      <w:pPr>
        <w:suppressAutoHyphens w:val="0"/>
        <w:jc w:val="both"/>
        <w:rPr>
          <w:bCs/>
          <w:sz w:val="24"/>
          <w:szCs w:val="24"/>
          <w:lang w:val="pl-PL" w:eastAsia="sr-Latn-CS"/>
        </w:rPr>
      </w:pPr>
    </w:p>
    <w:p w:rsidR="00CC5767" w:rsidRDefault="00CC5767" w:rsidP="00F8530F">
      <w:pPr>
        <w:suppressAutoHyphens w:val="0"/>
        <w:jc w:val="both"/>
        <w:rPr>
          <w:bCs/>
          <w:sz w:val="24"/>
          <w:szCs w:val="24"/>
          <w:lang w:val="pl-PL" w:eastAsia="sr-Latn-CS"/>
        </w:rPr>
      </w:pPr>
    </w:p>
    <w:p w:rsidR="00CC5767" w:rsidRDefault="00CC5767" w:rsidP="00F8530F">
      <w:pPr>
        <w:suppressAutoHyphens w:val="0"/>
        <w:jc w:val="both"/>
        <w:rPr>
          <w:bCs/>
          <w:sz w:val="24"/>
          <w:szCs w:val="24"/>
          <w:lang w:val="pl-PL" w:eastAsia="sr-Latn-CS"/>
        </w:rPr>
      </w:pPr>
    </w:p>
    <w:p w:rsidR="00CC5767" w:rsidRDefault="00CC5767" w:rsidP="00F8530F">
      <w:pPr>
        <w:suppressAutoHyphens w:val="0"/>
        <w:jc w:val="both"/>
        <w:rPr>
          <w:bCs/>
          <w:sz w:val="24"/>
          <w:szCs w:val="24"/>
          <w:lang w:val="pl-PL" w:eastAsia="sr-Latn-CS"/>
        </w:rPr>
      </w:pPr>
    </w:p>
    <w:p w:rsidR="00F8530F" w:rsidRPr="00F8530F" w:rsidRDefault="00CC5767" w:rsidP="00F8530F">
      <w:pPr>
        <w:suppressAutoHyphens w:val="0"/>
        <w:jc w:val="both"/>
        <w:rPr>
          <w:bCs/>
          <w:sz w:val="24"/>
          <w:szCs w:val="24"/>
          <w:lang w:val="pl-PL" w:eastAsia="sr-Latn-CS"/>
        </w:rPr>
      </w:pPr>
      <w:r>
        <w:rPr>
          <w:bCs/>
          <w:sz w:val="24"/>
          <w:szCs w:val="24"/>
          <w:lang w:val="pl-PL" w:eastAsia="sr-Latn-CS"/>
        </w:rPr>
        <w:br w:type="page"/>
      </w:r>
      <w:r w:rsidR="00F8530F" w:rsidRPr="00F8530F">
        <w:rPr>
          <w:bCs/>
          <w:sz w:val="24"/>
          <w:szCs w:val="24"/>
          <w:lang w:val="pl-PL" w:eastAsia="sr-Latn-CS"/>
        </w:rPr>
        <w:lastRenderedPageBreak/>
        <w:t xml:space="preserve">Važno je napomenuti da je, od sedam korišćenih istraživanja, dva sadrže podatke iz 2012. godine. Od preostalih pet koji sadrže podatke i za 2013. godinu, u dva je Srbija stagnirala, a u tri zabeležila rast. U jednom od njih rast je izuzetno veliki, što je osetno uticalo i na ukupan rast indeksa u 2013. godini. </w:t>
      </w:r>
    </w:p>
    <w:p w:rsidR="00F8530F" w:rsidRPr="00F8530F" w:rsidRDefault="00F8530F" w:rsidP="00F8530F">
      <w:pPr>
        <w:suppressAutoHyphens w:val="0"/>
        <w:rPr>
          <w:b/>
          <w:bCs/>
          <w:sz w:val="24"/>
          <w:szCs w:val="24"/>
          <w:lang w:val="pl-PL" w:eastAsia="sr-Latn-CS"/>
        </w:rPr>
      </w:pPr>
    </w:p>
    <w:p w:rsidR="00F8530F" w:rsidRPr="00F8530F" w:rsidRDefault="00F8530F" w:rsidP="00F8530F">
      <w:pPr>
        <w:suppressAutoHyphens w:val="0"/>
        <w:rPr>
          <w:b/>
          <w:bCs/>
          <w:sz w:val="24"/>
          <w:szCs w:val="24"/>
          <w:lang w:val="pl-PL" w:eastAsia="sr-Latn-CS"/>
        </w:rPr>
      </w:pPr>
      <w:r w:rsidRPr="00F8530F">
        <w:rPr>
          <w:b/>
          <w:bCs/>
          <w:sz w:val="24"/>
          <w:szCs w:val="24"/>
          <w:lang w:val="pl-PL" w:eastAsia="sr-Latn-CS"/>
        </w:rPr>
        <w:t xml:space="preserve">Ocene za Srbiju po izvorima  za 2012 i 2013 godinu </w:t>
      </w:r>
    </w:p>
    <w:p w:rsidR="00F8530F" w:rsidRPr="00F8530F" w:rsidRDefault="00F8530F" w:rsidP="00F8530F">
      <w:pPr>
        <w:suppressAutoHyphens w:val="0"/>
        <w:rPr>
          <w:b/>
          <w:bCs/>
          <w:sz w:val="24"/>
          <w:szCs w:val="24"/>
          <w:lang w:val="pl-PL" w:eastAsia="sr-Latn-CS"/>
        </w:rPr>
      </w:pP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F8530F">
      <w:pPr>
        <w:suppressAutoHyphens w:val="0"/>
        <w:autoSpaceDE w:val="0"/>
        <w:autoSpaceDN w:val="0"/>
        <w:adjustRightInd w:val="0"/>
        <w:ind w:left="450" w:hanging="450"/>
        <w:rPr>
          <w:b/>
          <w:bCs/>
          <w:sz w:val="26"/>
          <w:szCs w:val="40"/>
          <w:lang w:val="en-US" w:eastAsia="sr-Latn-CS"/>
        </w:rPr>
      </w:pPr>
      <w:r w:rsidRPr="00F8530F">
        <w:rPr>
          <w:rFonts w:ascii="Arial" w:hAnsi="Arial" w:cs="Arial"/>
          <w:sz w:val="26"/>
          <w:szCs w:val="40"/>
          <w:lang w:val="pl-PL" w:eastAsia="sr-Latn-CS"/>
        </w:rPr>
        <w:t xml:space="preserve">                                       </w:t>
      </w:r>
      <w:r w:rsidRPr="00F8530F">
        <w:rPr>
          <w:rFonts w:ascii="Arial" w:hAnsi="Arial" w:cs="Arial"/>
          <w:sz w:val="26"/>
          <w:szCs w:val="40"/>
          <w:lang w:val="pl-PL" w:eastAsia="sr-Latn-CS"/>
        </w:rPr>
        <w:tab/>
      </w:r>
      <w:r w:rsidRPr="00F8530F">
        <w:rPr>
          <w:rFonts w:ascii="Arial" w:hAnsi="Arial" w:cs="Arial"/>
          <w:sz w:val="26"/>
          <w:szCs w:val="40"/>
          <w:lang w:val="pl-PL" w:eastAsia="sr-Latn-CS"/>
        </w:rPr>
        <w:tab/>
      </w:r>
      <w:r w:rsidRPr="00F8530F">
        <w:rPr>
          <w:rFonts w:ascii="Arial" w:hAnsi="Arial" w:cs="Arial"/>
          <w:sz w:val="26"/>
          <w:szCs w:val="40"/>
          <w:lang w:val="pl-PL" w:eastAsia="sr-Latn-CS"/>
        </w:rPr>
        <w:tab/>
      </w:r>
      <w:r w:rsidRPr="00F8530F">
        <w:rPr>
          <w:rFonts w:ascii="Arial" w:hAnsi="Arial" w:cs="Arial"/>
          <w:sz w:val="26"/>
          <w:szCs w:val="40"/>
          <w:lang w:val="pl-PL" w:eastAsia="sr-Latn-CS"/>
        </w:rPr>
        <w:tab/>
      </w:r>
      <w:r w:rsidRPr="00F8530F">
        <w:rPr>
          <w:b/>
          <w:bCs/>
          <w:sz w:val="26"/>
          <w:szCs w:val="40"/>
          <w:lang w:val="pl-PL" w:eastAsia="sr-Latn-CS"/>
        </w:rPr>
        <w:t>CPI 2</w:t>
      </w:r>
      <w:r w:rsidRPr="00F8530F">
        <w:rPr>
          <w:b/>
          <w:bCs/>
          <w:sz w:val="26"/>
          <w:szCs w:val="40"/>
          <w:lang w:val="en-US" w:eastAsia="sr-Latn-CS"/>
        </w:rPr>
        <w:t>01</w:t>
      </w:r>
      <w:r w:rsidRPr="00F8530F">
        <w:rPr>
          <w:b/>
          <w:bCs/>
          <w:sz w:val="26"/>
          <w:szCs w:val="40"/>
          <w:lang w:eastAsia="sr-Latn-CS"/>
        </w:rPr>
        <w:t>2</w:t>
      </w:r>
      <w:r w:rsidRPr="00F8530F">
        <w:rPr>
          <w:b/>
          <w:bCs/>
          <w:sz w:val="26"/>
          <w:szCs w:val="40"/>
          <w:lang w:val="en-US" w:eastAsia="sr-Latn-CS"/>
        </w:rPr>
        <w:t xml:space="preserve">                      CPI 201</w:t>
      </w:r>
      <w:r w:rsidRPr="00F8530F">
        <w:rPr>
          <w:b/>
          <w:bCs/>
          <w:sz w:val="26"/>
          <w:szCs w:val="40"/>
          <w:lang w:eastAsia="sr-Latn-CS"/>
        </w:rPr>
        <w:t>3</w:t>
      </w:r>
      <w:r w:rsidRPr="00F8530F">
        <w:rPr>
          <w:b/>
          <w:bCs/>
          <w:sz w:val="26"/>
          <w:szCs w:val="40"/>
          <w:lang w:val="en-US" w:eastAsia="sr-Latn-CS"/>
        </w:rPr>
        <w:t xml:space="preserve"> </w:t>
      </w:r>
    </w:p>
    <w:p w:rsidR="00F8530F" w:rsidRPr="00F8530F" w:rsidRDefault="00F8530F" w:rsidP="00F8530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rPr>
          <w:sz w:val="24"/>
          <w:szCs w:val="36"/>
          <w:lang w:val="en-US" w:eastAsia="sr-Latn-CS"/>
        </w:rPr>
      </w:pPr>
      <w:r w:rsidRPr="00F8530F">
        <w:rPr>
          <w:b/>
          <w:bCs/>
          <w:sz w:val="24"/>
          <w:szCs w:val="24"/>
          <w:lang w:val="sr-Latn-CS" w:eastAsia="sr-Latn-CS"/>
        </w:rPr>
        <w:t>Global Insight Country Risk Ratings*</w:t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sz w:val="24"/>
          <w:szCs w:val="36"/>
          <w:lang w:eastAsia="sr-Latn-CS"/>
        </w:rPr>
        <w:t>42</w:t>
      </w:r>
      <w:r w:rsidRPr="00F8530F">
        <w:rPr>
          <w:sz w:val="24"/>
          <w:szCs w:val="36"/>
          <w:lang w:val="en-US" w:eastAsia="sr-Latn-CS"/>
        </w:rPr>
        <w:t xml:space="preserve">                                   </w:t>
      </w:r>
      <w:r w:rsidRPr="00F8530F">
        <w:rPr>
          <w:sz w:val="24"/>
          <w:szCs w:val="36"/>
          <w:lang w:eastAsia="sr-Latn-CS"/>
        </w:rPr>
        <w:t>52</w:t>
      </w:r>
    </w:p>
    <w:p w:rsidR="00F8530F" w:rsidRPr="00F8530F" w:rsidRDefault="00F8530F" w:rsidP="00F8530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rPr>
          <w:sz w:val="24"/>
          <w:szCs w:val="36"/>
          <w:lang w:val="en-US" w:eastAsia="sr-Latn-CS"/>
        </w:rPr>
      </w:pPr>
      <w:r w:rsidRPr="00F8530F">
        <w:rPr>
          <w:b/>
          <w:bCs/>
          <w:sz w:val="24"/>
          <w:szCs w:val="24"/>
          <w:lang w:val="sr-Latn-CS" w:eastAsia="sr-Latn-CS"/>
        </w:rPr>
        <w:t>Bertelsmann Foundation*</w:t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sz w:val="24"/>
          <w:szCs w:val="36"/>
          <w:lang w:eastAsia="sr-Latn-CS"/>
        </w:rPr>
        <w:t>49</w:t>
      </w:r>
      <w:r w:rsidRPr="00F8530F">
        <w:rPr>
          <w:sz w:val="24"/>
          <w:szCs w:val="36"/>
          <w:lang w:val="en-US" w:eastAsia="sr-Latn-CS"/>
        </w:rPr>
        <w:t xml:space="preserve">                                   </w:t>
      </w:r>
      <w:r w:rsidRPr="00F8530F">
        <w:rPr>
          <w:sz w:val="24"/>
          <w:szCs w:val="36"/>
          <w:lang w:eastAsia="sr-Latn-CS"/>
        </w:rPr>
        <w:t>53</w:t>
      </w:r>
    </w:p>
    <w:p w:rsidR="00F8530F" w:rsidRPr="00F8530F" w:rsidRDefault="00F8530F" w:rsidP="00F8530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rPr>
          <w:sz w:val="24"/>
          <w:szCs w:val="36"/>
          <w:lang w:eastAsia="sr-Latn-CS"/>
        </w:rPr>
      </w:pPr>
      <w:r w:rsidRPr="00F8530F">
        <w:rPr>
          <w:b/>
          <w:bCs/>
          <w:sz w:val="24"/>
          <w:szCs w:val="24"/>
          <w:lang w:val="sr-Latn-CS" w:eastAsia="sr-Latn-CS"/>
        </w:rPr>
        <w:t>World Economic Forum**</w:t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sz w:val="24"/>
          <w:szCs w:val="36"/>
          <w:lang w:eastAsia="sr-Latn-CS"/>
        </w:rPr>
        <w:t>35                                   37</w:t>
      </w:r>
    </w:p>
    <w:p w:rsidR="00F8530F" w:rsidRPr="00F8530F" w:rsidRDefault="00F8530F" w:rsidP="00F8530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rPr>
          <w:sz w:val="24"/>
          <w:szCs w:val="36"/>
          <w:lang w:val="en-US" w:eastAsia="sr-Latn-CS"/>
        </w:rPr>
      </w:pPr>
      <w:r w:rsidRPr="00F8530F">
        <w:rPr>
          <w:b/>
          <w:bCs/>
          <w:sz w:val="24"/>
          <w:szCs w:val="24"/>
          <w:lang w:val="sr-Latn-CS" w:eastAsia="sr-Latn-CS"/>
        </w:rPr>
        <w:t>Economist Intelligence Unit*</w:t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sz w:val="24"/>
          <w:szCs w:val="36"/>
          <w:lang w:eastAsia="sr-Latn-CS"/>
        </w:rPr>
        <w:t>38</w:t>
      </w:r>
      <w:r w:rsidRPr="00F8530F">
        <w:rPr>
          <w:sz w:val="24"/>
          <w:szCs w:val="36"/>
          <w:lang w:val="en-US" w:eastAsia="sr-Latn-CS"/>
        </w:rPr>
        <w:t xml:space="preserve">                                   3</w:t>
      </w:r>
      <w:r w:rsidRPr="00F8530F">
        <w:rPr>
          <w:sz w:val="24"/>
          <w:szCs w:val="36"/>
          <w:lang w:eastAsia="sr-Latn-CS"/>
        </w:rPr>
        <w:t>8</w:t>
      </w:r>
    </w:p>
    <w:p w:rsidR="00F8530F" w:rsidRPr="00F8530F" w:rsidRDefault="00F8530F" w:rsidP="00F8530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rPr>
          <w:sz w:val="24"/>
          <w:szCs w:val="36"/>
          <w:lang w:val="en-US" w:eastAsia="sr-Latn-CS"/>
        </w:rPr>
      </w:pPr>
      <w:r w:rsidRPr="00F8530F">
        <w:rPr>
          <w:b/>
          <w:bCs/>
          <w:sz w:val="24"/>
          <w:szCs w:val="24"/>
          <w:lang w:val="sr-Latn-CS" w:eastAsia="sr-Latn-CS"/>
        </w:rPr>
        <w:t>Freedom House****</w:t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F8530F">
        <w:rPr>
          <w:sz w:val="24"/>
          <w:szCs w:val="36"/>
          <w:lang w:eastAsia="sr-Latn-CS"/>
        </w:rPr>
        <w:t>47</w:t>
      </w:r>
      <w:r w:rsidRPr="00F8530F">
        <w:rPr>
          <w:sz w:val="24"/>
          <w:szCs w:val="36"/>
          <w:lang w:val="en-US" w:eastAsia="sr-Latn-CS"/>
        </w:rPr>
        <w:t xml:space="preserve">                                   4</w:t>
      </w:r>
      <w:r w:rsidRPr="00F8530F">
        <w:rPr>
          <w:sz w:val="24"/>
          <w:szCs w:val="36"/>
          <w:lang w:eastAsia="sr-Latn-CS"/>
        </w:rPr>
        <w:t>7</w:t>
      </w:r>
    </w:p>
    <w:p w:rsidR="00F8530F" w:rsidRPr="00F8530F" w:rsidRDefault="00F8530F" w:rsidP="00F8530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rPr>
          <w:sz w:val="24"/>
          <w:szCs w:val="36"/>
          <w:lang w:val="en-US" w:eastAsia="sr-Latn-CS"/>
        </w:rPr>
      </w:pPr>
      <w:r w:rsidRPr="00F8530F">
        <w:rPr>
          <w:b/>
          <w:bCs/>
          <w:sz w:val="24"/>
          <w:szCs w:val="24"/>
          <w:lang w:val="sr-Latn-CS" w:eastAsia="sr-Latn-CS"/>
        </w:rPr>
        <w:t>International Country Risk Guide*</w:t>
      </w:r>
      <w:r w:rsidRPr="00F8530F">
        <w:rPr>
          <w:sz w:val="24"/>
          <w:szCs w:val="36"/>
          <w:lang w:eastAsia="sr-Latn-CS"/>
        </w:rPr>
        <w:tab/>
      </w:r>
      <w:r w:rsidRPr="00F8530F">
        <w:rPr>
          <w:sz w:val="24"/>
          <w:szCs w:val="36"/>
          <w:lang w:eastAsia="sr-Latn-CS"/>
        </w:rPr>
        <w:tab/>
      </w:r>
      <w:r w:rsidRPr="00F8530F">
        <w:rPr>
          <w:sz w:val="24"/>
          <w:szCs w:val="36"/>
          <w:lang w:eastAsia="sr-Latn-CS"/>
        </w:rPr>
        <w:tab/>
        <w:t>31</w:t>
      </w:r>
      <w:r w:rsidRPr="00F8530F">
        <w:rPr>
          <w:sz w:val="24"/>
          <w:szCs w:val="36"/>
          <w:lang w:val="en-US" w:eastAsia="sr-Latn-CS"/>
        </w:rPr>
        <w:t xml:space="preserve">                                  </w:t>
      </w:r>
      <w:r w:rsidR="00CC5767">
        <w:rPr>
          <w:sz w:val="24"/>
          <w:szCs w:val="36"/>
          <w:lang w:val="en-US" w:eastAsia="sr-Latn-CS"/>
        </w:rPr>
        <w:t xml:space="preserve"> </w:t>
      </w:r>
      <w:r w:rsidRPr="00F8530F">
        <w:rPr>
          <w:sz w:val="24"/>
          <w:szCs w:val="36"/>
          <w:lang w:eastAsia="sr-Latn-CS"/>
        </w:rPr>
        <w:t>31</w:t>
      </w:r>
    </w:p>
    <w:p w:rsidR="00F8530F" w:rsidRPr="00F8530F" w:rsidRDefault="00F8530F" w:rsidP="00F8530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rPr>
          <w:sz w:val="24"/>
          <w:szCs w:val="36"/>
          <w:lang w:eastAsia="sr-Latn-CS"/>
        </w:rPr>
      </w:pPr>
      <w:r w:rsidRPr="00F8530F">
        <w:rPr>
          <w:b/>
          <w:bCs/>
          <w:sz w:val="24"/>
          <w:szCs w:val="24"/>
          <w:lang w:val="sr-Latn-CS" w:eastAsia="sr-Latn-CS"/>
        </w:rPr>
        <w:t>World Justice Project Rule of Law Index***</w:t>
      </w:r>
      <w:r w:rsidRPr="00F8530F">
        <w:rPr>
          <w:b/>
          <w:bCs/>
          <w:sz w:val="24"/>
          <w:szCs w:val="24"/>
          <w:lang w:val="sr-Latn-CS" w:eastAsia="sr-Latn-CS"/>
        </w:rPr>
        <w:tab/>
      </w:r>
      <w:r w:rsidRPr="00CC5767">
        <w:rPr>
          <w:b/>
          <w:bCs/>
          <w:sz w:val="24"/>
          <w:szCs w:val="24"/>
          <w:lang w:val="sr-Latn-CS" w:eastAsia="sr-Latn-CS"/>
        </w:rPr>
        <w:t xml:space="preserve">            </w:t>
      </w:r>
      <w:r w:rsidRPr="00F8530F">
        <w:rPr>
          <w:sz w:val="24"/>
          <w:szCs w:val="36"/>
          <w:lang w:eastAsia="sr-Latn-CS"/>
        </w:rPr>
        <w:t>35                                   35</w:t>
      </w:r>
    </w:p>
    <w:p w:rsidR="00F8530F" w:rsidRPr="00F8530F" w:rsidRDefault="00F8530F" w:rsidP="00F8530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50" w:hanging="450"/>
        <w:rPr>
          <w:sz w:val="24"/>
          <w:szCs w:val="36"/>
          <w:lang w:val="en-US" w:eastAsia="sr-Latn-CS"/>
        </w:rPr>
      </w:pPr>
      <w:r w:rsidRPr="00F8530F">
        <w:rPr>
          <w:b/>
          <w:bCs/>
          <w:sz w:val="26"/>
          <w:szCs w:val="40"/>
          <w:lang w:val="en-US" w:eastAsia="sr-Latn-CS"/>
        </w:rPr>
        <w:t>Ocena</w:t>
      </w:r>
      <w:r w:rsidRPr="00F8530F">
        <w:rPr>
          <w:b/>
          <w:bCs/>
          <w:sz w:val="26"/>
          <w:szCs w:val="40"/>
          <w:lang w:val="en-US" w:eastAsia="sr-Latn-CS"/>
        </w:rPr>
        <w:tab/>
      </w:r>
      <w:r w:rsidRPr="00F8530F">
        <w:rPr>
          <w:b/>
          <w:bCs/>
          <w:sz w:val="26"/>
          <w:szCs w:val="40"/>
          <w:lang w:val="en-US" w:eastAsia="sr-Latn-CS"/>
        </w:rPr>
        <w:tab/>
      </w:r>
      <w:r w:rsidRPr="00F8530F">
        <w:rPr>
          <w:b/>
          <w:bCs/>
          <w:sz w:val="26"/>
          <w:szCs w:val="40"/>
          <w:lang w:val="en-US" w:eastAsia="sr-Latn-CS"/>
        </w:rPr>
        <w:tab/>
      </w:r>
      <w:r w:rsidRPr="00F8530F">
        <w:rPr>
          <w:b/>
          <w:bCs/>
          <w:sz w:val="26"/>
          <w:szCs w:val="40"/>
          <w:lang w:val="en-US" w:eastAsia="sr-Latn-CS"/>
        </w:rPr>
        <w:tab/>
      </w:r>
      <w:r w:rsidRPr="00F8530F">
        <w:rPr>
          <w:b/>
          <w:bCs/>
          <w:sz w:val="26"/>
          <w:szCs w:val="40"/>
          <w:lang w:val="en-US" w:eastAsia="sr-Latn-CS"/>
        </w:rPr>
        <w:tab/>
      </w:r>
      <w:r w:rsidRPr="00F8530F">
        <w:rPr>
          <w:b/>
          <w:bCs/>
          <w:sz w:val="26"/>
          <w:szCs w:val="40"/>
          <w:lang w:val="en-US" w:eastAsia="sr-Latn-CS"/>
        </w:rPr>
        <w:tab/>
      </w:r>
      <w:r w:rsidRPr="00F8530F">
        <w:rPr>
          <w:b/>
          <w:bCs/>
          <w:sz w:val="26"/>
          <w:szCs w:val="40"/>
          <w:lang w:val="en-US" w:eastAsia="sr-Latn-CS"/>
        </w:rPr>
        <w:tab/>
      </w:r>
      <w:r w:rsidRPr="00F8530F">
        <w:rPr>
          <w:b/>
          <w:bCs/>
          <w:sz w:val="26"/>
          <w:szCs w:val="40"/>
          <w:lang w:eastAsia="sr-Latn-CS"/>
        </w:rPr>
        <w:t>39</w:t>
      </w:r>
      <w:r w:rsidRPr="00F8530F">
        <w:rPr>
          <w:b/>
          <w:bCs/>
          <w:sz w:val="26"/>
          <w:szCs w:val="40"/>
          <w:lang w:val="en-US" w:eastAsia="sr-Latn-CS"/>
        </w:rPr>
        <w:t xml:space="preserve">                               </w:t>
      </w:r>
      <w:r w:rsidR="00CC5767">
        <w:rPr>
          <w:b/>
          <w:bCs/>
          <w:sz w:val="26"/>
          <w:szCs w:val="40"/>
          <w:lang w:val="en-US" w:eastAsia="sr-Latn-CS"/>
        </w:rPr>
        <w:t xml:space="preserve"> </w:t>
      </w:r>
      <w:r w:rsidRPr="00F8530F">
        <w:rPr>
          <w:b/>
          <w:bCs/>
          <w:sz w:val="26"/>
          <w:szCs w:val="40"/>
          <w:lang w:eastAsia="sr-Latn-CS"/>
        </w:rPr>
        <w:t>42</w:t>
      </w:r>
      <w:r w:rsidRPr="00F8530F">
        <w:rPr>
          <w:b/>
          <w:bCs/>
          <w:sz w:val="26"/>
          <w:szCs w:val="40"/>
          <w:lang w:val="en-US" w:eastAsia="sr-Latn-CS"/>
        </w:rPr>
        <w:t xml:space="preserve"> </w:t>
      </w:r>
    </w:p>
    <w:p w:rsidR="00F8530F" w:rsidRPr="00F8530F" w:rsidRDefault="00F8530F" w:rsidP="00F8530F">
      <w:pPr>
        <w:suppressAutoHyphens w:val="0"/>
        <w:rPr>
          <w:sz w:val="24"/>
          <w:szCs w:val="24"/>
          <w:lang w:val="sr-Latn-CS" w:eastAsia="sr-Latn-CS"/>
        </w:rPr>
      </w:pPr>
    </w:p>
    <w:p w:rsidR="00F8530F" w:rsidRPr="00F8530F" w:rsidRDefault="00F8530F" w:rsidP="00CC5767">
      <w:pPr>
        <w:suppressAutoHyphens w:val="0"/>
        <w:jc w:val="both"/>
        <w:rPr>
          <w:sz w:val="24"/>
          <w:szCs w:val="24"/>
          <w:lang w:val="sr-Latn-CS" w:eastAsia="sr-Latn-CS"/>
        </w:rPr>
      </w:pPr>
      <w:r w:rsidRPr="00F8530F">
        <w:rPr>
          <w:sz w:val="24"/>
          <w:szCs w:val="24"/>
          <w:lang w:val="sr-Latn-CS" w:eastAsia="sr-Latn-CS"/>
        </w:rPr>
        <w:t>*  Stručnjaci angažovani od strane banke</w:t>
      </w:r>
      <w:r w:rsidRPr="00F8530F">
        <w:rPr>
          <w:sz w:val="24"/>
          <w:szCs w:val="24"/>
          <w:lang w:val="pl-PL" w:eastAsia="sr-Latn-CS"/>
        </w:rPr>
        <w:t xml:space="preserve">/ institucije </w:t>
      </w:r>
    </w:p>
    <w:p w:rsidR="00F8530F" w:rsidRPr="00F8530F" w:rsidRDefault="00F8530F" w:rsidP="00CC5767">
      <w:pPr>
        <w:suppressAutoHyphens w:val="0"/>
        <w:jc w:val="both"/>
        <w:rPr>
          <w:sz w:val="24"/>
          <w:szCs w:val="24"/>
          <w:lang w:val="sr-Latn-CS" w:eastAsia="sr-Latn-CS"/>
        </w:rPr>
      </w:pPr>
      <w:r w:rsidRPr="00F8530F">
        <w:rPr>
          <w:sz w:val="24"/>
          <w:szCs w:val="24"/>
          <w:lang w:val="sr-Latn-CS" w:eastAsia="sr-Latn-CS"/>
        </w:rPr>
        <w:t>** Opažanja rezidenata</w:t>
      </w:r>
      <w:r w:rsidRPr="00F8530F">
        <w:rPr>
          <w:sz w:val="24"/>
          <w:szCs w:val="24"/>
          <w:lang w:val="en-US" w:eastAsia="sr-Latn-CS"/>
        </w:rPr>
        <w:t>;</w:t>
      </w:r>
      <w:r w:rsidRPr="00F8530F">
        <w:rPr>
          <w:sz w:val="24"/>
          <w:szCs w:val="24"/>
          <w:lang w:val="sr-Latn-CS" w:eastAsia="sr-Latn-CS"/>
        </w:rPr>
        <w:t xml:space="preserve"> ispitanici su uglavnom lokalni stručnjaci, lokalni poslovni ljudi i multinacionalne firme</w:t>
      </w:r>
    </w:p>
    <w:p w:rsidR="00F8530F" w:rsidRPr="00F8530F" w:rsidRDefault="00F8530F" w:rsidP="00CC5767">
      <w:pPr>
        <w:suppressAutoHyphens w:val="0"/>
        <w:jc w:val="both"/>
        <w:rPr>
          <w:sz w:val="24"/>
          <w:szCs w:val="24"/>
          <w:lang w:val="sr-Latn-CS" w:eastAsia="sr-Latn-CS"/>
        </w:rPr>
      </w:pPr>
    </w:p>
    <w:p w:rsidR="00F8530F" w:rsidRPr="00F8530F" w:rsidRDefault="00F8530F" w:rsidP="00CC5767">
      <w:pPr>
        <w:suppressAutoHyphens w:val="0"/>
        <w:jc w:val="both"/>
        <w:rPr>
          <w:sz w:val="24"/>
          <w:szCs w:val="24"/>
          <w:lang w:val="sr-Latn-CS" w:eastAsia="sr-Latn-CS"/>
        </w:rPr>
      </w:pPr>
      <w:r w:rsidRPr="00F8530F">
        <w:rPr>
          <w:sz w:val="24"/>
          <w:szCs w:val="24"/>
          <w:lang w:val="sr-Latn-CS" w:eastAsia="sr-Latn-CS"/>
        </w:rPr>
        <w:t xml:space="preserve">*** </w:t>
      </w:r>
      <w:r w:rsidR="00CC5767">
        <w:rPr>
          <w:sz w:val="24"/>
          <w:szCs w:val="24"/>
          <w:lang w:val="sr-Latn-CS" w:eastAsia="sr-Latn-CS"/>
        </w:rPr>
        <w:t xml:space="preserve">      </w:t>
      </w:r>
      <w:r w:rsidRPr="00F8530F">
        <w:rPr>
          <w:sz w:val="24"/>
          <w:szCs w:val="24"/>
          <w:lang w:val="pl-PL" w:eastAsia="sr-Latn-CS"/>
        </w:rPr>
        <w:t xml:space="preserve">Lokalni stručnjaci  i opšta populacija, u </w:t>
      </w:r>
      <w:r w:rsidRPr="00F8530F">
        <w:rPr>
          <w:sz w:val="24"/>
          <w:szCs w:val="24"/>
          <w:lang w:val="sr-Latn-CS" w:eastAsia="sr-Latn-CS"/>
        </w:rPr>
        <w:t>2013. korišćeno isto istraživanje kao u 2012.</w:t>
      </w:r>
    </w:p>
    <w:p w:rsidR="00F8530F" w:rsidRPr="00F8530F" w:rsidRDefault="00F8530F" w:rsidP="00CC5767">
      <w:pPr>
        <w:suppressAutoHyphens w:val="0"/>
        <w:jc w:val="both"/>
        <w:rPr>
          <w:sz w:val="24"/>
          <w:szCs w:val="24"/>
          <w:lang w:val="sr-Latn-CS" w:eastAsia="sr-Latn-CS"/>
        </w:rPr>
      </w:pPr>
      <w:r w:rsidRPr="00F8530F">
        <w:rPr>
          <w:sz w:val="24"/>
          <w:szCs w:val="24"/>
          <w:lang w:val="sr-Latn-CS" w:eastAsia="sr-Latn-CS"/>
        </w:rPr>
        <w:t>****  Opažanja nerezidenata; ispitanici uglavnom potiču iz razvijenih zemalja, u 2013. korišćeno isto istraživanje kao u 2012.</w:t>
      </w:r>
    </w:p>
    <w:p w:rsidR="003E0A5B" w:rsidRDefault="003E0A5B" w:rsidP="00191AE6">
      <w:pPr>
        <w:rPr>
          <w:sz w:val="24"/>
          <w:szCs w:val="24"/>
          <w:lang w:val="sr-Latn-CS"/>
        </w:rPr>
      </w:pPr>
    </w:p>
    <w:p w:rsidR="00686DFD" w:rsidRPr="00DF31C1" w:rsidRDefault="00686DFD" w:rsidP="00686DFD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7846BB" w:rsidRPr="00FA0752" w:rsidRDefault="007846BB" w:rsidP="00FA0752">
      <w:pPr>
        <w:spacing w:line="360" w:lineRule="auto"/>
        <w:ind w:left="360"/>
        <w:jc w:val="both"/>
        <w:rPr>
          <w:sz w:val="22"/>
          <w:szCs w:val="22"/>
          <w:lang w:val="sr-Latn-CS"/>
        </w:rPr>
      </w:pPr>
    </w:p>
    <w:sectPr w:rsidR="007846BB" w:rsidRPr="00FA0752" w:rsidSect="00686DFD">
      <w:headerReference w:type="default" r:id="rId7"/>
      <w:footerReference w:type="default" r:id="rId8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616" w:rsidRDefault="00696616">
      <w:r>
        <w:separator/>
      </w:r>
    </w:p>
  </w:endnote>
  <w:endnote w:type="continuationSeparator" w:id="1">
    <w:p w:rsidR="00696616" w:rsidRDefault="0069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Pr="005A4E20" w:rsidRDefault="005A4E20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5A4E20" w:rsidRPr="005A4E20" w:rsidRDefault="004923A7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</w:t>
    </w:r>
    <w:r w:rsidR="00D6180E">
      <w:rPr>
        <w:rFonts w:ascii="Tahoma" w:hAnsi="Tahoma" w:cs="Tahoma"/>
        <w:sz w:val="16"/>
        <w:szCs w:val="16"/>
        <w:lang w:val="sl-SI"/>
      </w:rPr>
      <w:t xml:space="preserve"> organizacije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5A4E20" w:rsidRPr="005A4E20" w:rsidRDefault="005A4E2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>TRANSPARENCY INTERNATI</w:t>
    </w:r>
    <w:r w:rsidRPr="005A4E20">
      <w:rPr>
        <w:rFonts w:ascii="Tahoma" w:hAnsi="Tahoma" w:cs="Tahoma"/>
        <w:sz w:val="16"/>
        <w:szCs w:val="16"/>
        <w:lang w:val="sl-SI"/>
      </w:rPr>
      <w:t>O</w:t>
    </w:r>
    <w:r w:rsidRPr="005A4E20">
      <w:rPr>
        <w:rFonts w:ascii="Tahoma" w:hAnsi="Tahoma" w:cs="Tahoma"/>
        <w:sz w:val="16"/>
        <w:szCs w:val="16"/>
        <w:lang w:val="sl-SI"/>
      </w:rPr>
      <w:t xml:space="preserve">NAL </w:t>
    </w:r>
    <w:r w:rsidR="00D6180E">
      <w:rPr>
        <w:rFonts w:ascii="Tahoma" w:hAnsi="Tahoma" w:cs="Tahoma"/>
        <w:sz w:val="16"/>
        <w:szCs w:val="16"/>
        <w:lang w:val="sl-SI"/>
      </w:rPr>
      <w:t>u Republici Srbiji</w:t>
    </w:r>
  </w:p>
  <w:p w:rsidR="005A4E20" w:rsidRDefault="00894B45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894B45" w:rsidRPr="005A4E20" w:rsidRDefault="00894B45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616" w:rsidRDefault="00696616">
      <w:r>
        <w:separator/>
      </w:r>
    </w:p>
  </w:footnote>
  <w:footnote w:type="continuationSeparator" w:id="1">
    <w:p w:rsidR="00696616" w:rsidRDefault="00696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Default="005A4E20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E13DA3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1in;z-index:251658240" filled="f" strokecolor="white" strokeweight="0">
          <v:textbox style="mso-next-textbox:#_x0000_s2052">
            <w:txbxContent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</w:t>
                </w:r>
                <w:r w:rsidR="00B4653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Palmotićeva 27/II</w:t>
                </w:r>
              </w:p>
              <w:p w:rsidR="005A4E20" w:rsidRPr="005A4E20" w:rsidRDefault="00894B45" w:rsidP="00894B45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       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Telefon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Fax: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78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05</w:t>
                </w:r>
              </w:p>
              <w:p w:rsidR="005A4E20" w:rsidRPr="005A4E20" w:rsidRDefault="00C5579D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hyperlink r:id="rId1" w:history="1">
                  <w:r w:rsidR="00FA0752"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="00BE764A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E20" w:rsidRPr="00327589" w:rsidRDefault="004923A7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5A4E20" w:rsidRPr="00327589" w:rsidRDefault="004923A7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5A4E20" w:rsidRPr="00327589" w:rsidRDefault="005A4E20" w:rsidP="005A4E20">
    <w:pPr>
      <w:rPr>
        <w:b/>
      </w:rPr>
    </w:pPr>
  </w:p>
  <w:p w:rsidR="005A4E20" w:rsidRDefault="005A4E20" w:rsidP="005A4E20">
    <w:pPr>
      <w:pStyle w:val="Header"/>
    </w:pPr>
  </w:p>
  <w:p w:rsidR="005A4E20" w:rsidRPr="005A4E20" w:rsidRDefault="005A4E2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0DB5E"/>
    <w:lvl w:ilvl="0">
      <w:numFmt w:val="bullet"/>
      <w:lvlText w:val="*"/>
      <w:lvlJc w:val="left"/>
    </w:lvl>
  </w:abstractNum>
  <w:abstractNum w:abstractNumId="1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21344"/>
    <w:rsid w:val="000459BF"/>
    <w:rsid w:val="0009480A"/>
    <w:rsid w:val="00094829"/>
    <w:rsid w:val="000A6379"/>
    <w:rsid w:val="000C3237"/>
    <w:rsid w:val="000E06BE"/>
    <w:rsid w:val="000F0F38"/>
    <w:rsid w:val="00104CA4"/>
    <w:rsid w:val="00122FAA"/>
    <w:rsid w:val="00174B43"/>
    <w:rsid w:val="00176E7C"/>
    <w:rsid w:val="00191AE6"/>
    <w:rsid w:val="001A336F"/>
    <w:rsid w:val="001A5EE9"/>
    <w:rsid w:val="001B7479"/>
    <w:rsid w:val="001D3752"/>
    <w:rsid w:val="001E6A95"/>
    <w:rsid w:val="001E78B4"/>
    <w:rsid w:val="00206150"/>
    <w:rsid w:val="00206DB4"/>
    <w:rsid w:val="00211122"/>
    <w:rsid w:val="00216F79"/>
    <w:rsid w:val="00220275"/>
    <w:rsid w:val="002221C8"/>
    <w:rsid w:val="0023605C"/>
    <w:rsid w:val="00246C49"/>
    <w:rsid w:val="00250666"/>
    <w:rsid w:val="00254FCE"/>
    <w:rsid w:val="00263676"/>
    <w:rsid w:val="002831ED"/>
    <w:rsid w:val="00283CB7"/>
    <w:rsid w:val="002B05EB"/>
    <w:rsid w:val="002B296E"/>
    <w:rsid w:val="002B5DD8"/>
    <w:rsid w:val="002D1C16"/>
    <w:rsid w:val="002F70D8"/>
    <w:rsid w:val="00301C8F"/>
    <w:rsid w:val="003055AF"/>
    <w:rsid w:val="00316525"/>
    <w:rsid w:val="00321827"/>
    <w:rsid w:val="003429EF"/>
    <w:rsid w:val="0036230D"/>
    <w:rsid w:val="0036574C"/>
    <w:rsid w:val="00366FAE"/>
    <w:rsid w:val="00391055"/>
    <w:rsid w:val="003A4299"/>
    <w:rsid w:val="003C2910"/>
    <w:rsid w:val="003C3BFF"/>
    <w:rsid w:val="003C7E49"/>
    <w:rsid w:val="003D1BFE"/>
    <w:rsid w:val="003D3730"/>
    <w:rsid w:val="003E0A5B"/>
    <w:rsid w:val="003E6150"/>
    <w:rsid w:val="003F5DA1"/>
    <w:rsid w:val="003F7B9E"/>
    <w:rsid w:val="004076A5"/>
    <w:rsid w:val="004709E9"/>
    <w:rsid w:val="00475EBE"/>
    <w:rsid w:val="004923A7"/>
    <w:rsid w:val="004B1843"/>
    <w:rsid w:val="004B6A19"/>
    <w:rsid w:val="00502BB8"/>
    <w:rsid w:val="00505382"/>
    <w:rsid w:val="00520AE6"/>
    <w:rsid w:val="00531EC1"/>
    <w:rsid w:val="005334CC"/>
    <w:rsid w:val="00533F70"/>
    <w:rsid w:val="0055049C"/>
    <w:rsid w:val="00576656"/>
    <w:rsid w:val="005A0FE6"/>
    <w:rsid w:val="005A4E20"/>
    <w:rsid w:val="005B29BD"/>
    <w:rsid w:val="005C447F"/>
    <w:rsid w:val="005C4990"/>
    <w:rsid w:val="005C58E0"/>
    <w:rsid w:val="005F2123"/>
    <w:rsid w:val="00600484"/>
    <w:rsid w:val="00602008"/>
    <w:rsid w:val="00621335"/>
    <w:rsid w:val="00632651"/>
    <w:rsid w:val="006333E8"/>
    <w:rsid w:val="00636BE2"/>
    <w:rsid w:val="0063797E"/>
    <w:rsid w:val="006454D8"/>
    <w:rsid w:val="006511BF"/>
    <w:rsid w:val="00652691"/>
    <w:rsid w:val="00664697"/>
    <w:rsid w:val="006715D6"/>
    <w:rsid w:val="006863B5"/>
    <w:rsid w:val="00686DFD"/>
    <w:rsid w:val="00696616"/>
    <w:rsid w:val="006C0810"/>
    <w:rsid w:val="006D1744"/>
    <w:rsid w:val="006E32F2"/>
    <w:rsid w:val="006F63BD"/>
    <w:rsid w:val="00722E45"/>
    <w:rsid w:val="00724909"/>
    <w:rsid w:val="00751758"/>
    <w:rsid w:val="00757F8E"/>
    <w:rsid w:val="00775FC1"/>
    <w:rsid w:val="007834CB"/>
    <w:rsid w:val="007846BB"/>
    <w:rsid w:val="007C02B9"/>
    <w:rsid w:val="007C0FB2"/>
    <w:rsid w:val="007C1DA0"/>
    <w:rsid w:val="007E5C34"/>
    <w:rsid w:val="007F1EC7"/>
    <w:rsid w:val="00826577"/>
    <w:rsid w:val="00843264"/>
    <w:rsid w:val="008572E4"/>
    <w:rsid w:val="00881A2D"/>
    <w:rsid w:val="00894B45"/>
    <w:rsid w:val="008A5977"/>
    <w:rsid w:val="008C1CA5"/>
    <w:rsid w:val="008D6944"/>
    <w:rsid w:val="008E2E83"/>
    <w:rsid w:val="008E6195"/>
    <w:rsid w:val="008F0C15"/>
    <w:rsid w:val="009208B0"/>
    <w:rsid w:val="00932A0B"/>
    <w:rsid w:val="009339CF"/>
    <w:rsid w:val="00933E8A"/>
    <w:rsid w:val="00954BD8"/>
    <w:rsid w:val="00973EC2"/>
    <w:rsid w:val="009B64E3"/>
    <w:rsid w:val="009C3658"/>
    <w:rsid w:val="009C6383"/>
    <w:rsid w:val="009E7F8F"/>
    <w:rsid w:val="00A20FAA"/>
    <w:rsid w:val="00A47E55"/>
    <w:rsid w:val="00A640C2"/>
    <w:rsid w:val="00A82CD4"/>
    <w:rsid w:val="00A930A4"/>
    <w:rsid w:val="00A94592"/>
    <w:rsid w:val="00AA447C"/>
    <w:rsid w:val="00AA6DC6"/>
    <w:rsid w:val="00AB2094"/>
    <w:rsid w:val="00AB3EDC"/>
    <w:rsid w:val="00AC319C"/>
    <w:rsid w:val="00AD25BD"/>
    <w:rsid w:val="00AE1E51"/>
    <w:rsid w:val="00AF2058"/>
    <w:rsid w:val="00B065A1"/>
    <w:rsid w:val="00B163BE"/>
    <w:rsid w:val="00B33BDC"/>
    <w:rsid w:val="00B4653C"/>
    <w:rsid w:val="00B530C0"/>
    <w:rsid w:val="00B56320"/>
    <w:rsid w:val="00B61664"/>
    <w:rsid w:val="00B70218"/>
    <w:rsid w:val="00B768EB"/>
    <w:rsid w:val="00B80C48"/>
    <w:rsid w:val="00B95A38"/>
    <w:rsid w:val="00B9786A"/>
    <w:rsid w:val="00BA2EB8"/>
    <w:rsid w:val="00BC0135"/>
    <w:rsid w:val="00BD5148"/>
    <w:rsid w:val="00BE47B0"/>
    <w:rsid w:val="00BE764A"/>
    <w:rsid w:val="00BF2454"/>
    <w:rsid w:val="00C14486"/>
    <w:rsid w:val="00C4772B"/>
    <w:rsid w:val="00C5579D"/>
    <w:rsid w:val="00C833CC"/>
    <w:rsid w:val="00C949F8"/>
    <w:rsid w:val="00CB3A62"/>
    <w:rsid w:val="00CB409A"/>
    <w:rsid w:val="00CC5767"/>
    <w:rsid w:val="00CD4422"/>
    <w:rsid w:val="00CF20A1"/>
    <w:rsid w:val="00D249D0"/>
    <w:rsid w:val="00D45431"/>
    <w:rsid w:val="00D57133"/>
    <w:rsid w:val="00D6180E"/>
    <w:rsid w:val="00D8622F"/>
    <w:rsid w:val="00DB3CEE"/>
    <w:rsid w:val="00DC1F8E"/>
    <w:rsid w:val="00DC52BD"/>
    <w:rsid w:val="00DC773E"/>
    <w:rsid w:val="00DC7D8E"/>
    <w:rsid w:val="00DE219B"/>
    <w:rsid w:val="00DF1335"/>
    <w:rsid w:val="00DF1F83"/>
    <w:rsid w:val="00DF31C1"/>
    <w:rsid w:val="00DF5DF9"/>
    <w:rsid w:val="00E307DA"/>
    <w:rsid w:val="00E35FF4"/>
    <w:rsid w:val="00E523D6"/>
    <w:rsid w:val="00EA54C2"/>
    <w:rsid w:val="00EB1D48"/>
    <w:rsid w:val="00EE23B7"/>
    <w:rsid w:val="00EE69C6"/>
    <w:rsid w:val="00EE6A9F"/>
    <w:rsid w:val="00EF4383"/>
    <w:rsid w:val="00EF4A76"/>
    <w:rsid w:val="00F025BD"/>
    <w:rsid w:val="00F27450"/>
    <w:rsid w:val="00F336FD"/>
    <w:rsid w:val="00F345CB"/>
    <w:rsid w:val="00F44D3B"/>
    <w:rsid w:val="00F47F06"/>
    <w:rsid w:val="00F52A90"/>
    <w:rsid w:val="00F54E4E"/>
    <w:rsid w:val="00F55D8C"/>
    <w:rsid w:val="00F64277"/>
    <w:rsid w:val="00F813D0"/>
    <w:rsid w:val="00F8433E"/>
    <w:rsid w:val="00F8530F"/>
    <w:rsid w:val="00F931AB"/>
    <w:rsid w:val="00F935B5"/>
    <w:rsid w:val="00FA0752"/>
    <w:rsid w:val="00FA5624"/>
    <w:rsid w:val="00FB1D31"/>
    <w:rsid w:val="00FC4EFC"/>
    <w:rsid w:val="00FC5CB7"/>
    <w:rsid w:val="00FE3643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E0A5B"/>
    <w:pPr>
      <w:suppressAutoHyphens w:val="0"/>
    </w:pPr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gospodine Vujčić,</vt:lpstr>
    </vt:vector>
  </TitlesOfParts>
  <Company>Transparency Serbia</Company>
  <LinksUpToDate>false</LinksUpToDate>
  <CharactersWithSpaces>6117</CharactersWithSpaces>
  <SharedDoc>false</SharedDoc>
  <HLinks>
    <vt:vector size="12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subject/>
  <dc:creator>Bane</dc:creator>
  <cp:keywords/>
  <cp:lastModifiedBy>x4</cp:lastModifiedBy>
  <cp:revision>2</cp:revision>
  <cp:lastPrinted>2007-06-25T14:35:00Z</cp:lastPrinted>
  <dcterms:created xsi:type="dcterms:W3CDTF">2013-12-03T08:59:00Z</dcterms:created>
  <dcterms:modified xsi:type="dcterms:W3CDTF">2013-12-03T08:59:00Z</dcterms:modified>
</cp:coreProperties>
</file>